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衢州职业技术学院（部门）</w:t>
      </w:r>
      <w:r>
        <w:rPr>
          <w:rFonts w:hint="eastAsia" w:ascii="方正小标宋简体" w:hAnsi="方正小标宋简体" w:eastAsia="方正小标宋简体" w:cs="方正小标宋简体"/>
          <w:bCs/>
          <w:spacing w:val="15"/>
          <w:sz w:val="44"/>
          <w:szCs w:val="44"/>
        </w:rPr>
        <w:t>2024年部门预算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w:t>
      </w:r>
      <w:r>
        <w:rPr>
          <w:rStyle w:val="9"/>
          <w:rFonts w:hint="eastAsia" w:ascii="黑体" w:eastAsia="黑体"/>
          <w:b w:val="0"/>
          <w:color w:val="000000"/>
          <w:sz w:val="32"/>
          <w:szCs w:val="32"/>
        </w:rPr>
        <w:t>部门概况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二、2024年衢州职业技术学院（部门）部门预算安排情况说明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（一）关于衢州职业技术学院（部门）2024年收支预算情况的总体说明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（二）关于衢州职业技术学院（部门）2024年收入预算情况说明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（三）关于衢州职业技术学院（部门）2024年支出预算情况说明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（四）关于衢州职业技术学院（部门）2024年财政拨款收支预算情况的总体说明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（五）关于衢州职业技术学院（部门）2024年一般公共预算拨款情况说明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（六）关于衢州职业技术学院（部门）2024年一般公共预算基本支出情况说明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（七）关于衢州职业技术学院（部门）2024年政府性基金预算支出情况说明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（八）关于衢州职业技术学院（部门）2024年国有资本经营预算支出情况说明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（九）关于衢州职业技术学院（部门）2024年一般公共预算“三公”经费预算情况说明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5"/>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四、2024年衢州职业技术学院（部门）部门预算表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（一）2024年部门收支预算总表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（二）2024年部门收入预算总表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（三）2024年部门支出预算总表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（四）2024年部门财政拨款收支预算总表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（五）2024年部门一般公共预算支出表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（六）2024年部门一般公共预算基本支出表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（七）2024年部门一般公共预算“三公”经费支出表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（八）2024年部门政府性基金预算支出表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（九）2024年部门国有资本经营预算支出表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（十）2024年部门项目支出预算表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（十一）2024年部门项目支出绩效表</w:t>
      </w:r>
    </w:p>
    <w:p>
      <w:pPr>
        <w:spacing w:line="520" w:lineRule="exact"/>
        <w:ind w:firstLine="627" w:firstLineChars="196"/>
        <w:rPr>
          <w:rStyle w:val="9"/>
          <w:rFonts w:ascii="黑体" w:eastAsia="黑体"/>
          <w:b w:val="0"/>
          <w:color w:val="00000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keepNext w:val="0"/>
        <w:keepLines w:val="0"/>
        <w:pageBreakBefore w:val="0"/>
        <w:kinsoku/>
        <w:wordWrap/>
        <w:overflowPunct/>
        <w:topLinePunct w:val="0"/>
        <w:bidi w:val="0"/>
        <w:snapToGrid/>
        <w:spacing w:line="540" w:lineRule="exact"/>
        <w:ind w:firstLine="627" w:firstLineChars="196"/>
        <w:textAlignment w:val="auto"/>
        <w:rPr>
          <w:rStyle w:val="9"/>
          <w:rFonts w:ascii="黑体" w:eastAsia="黑体"/>
          <w:b w:val="0"/>
          <w:color w:val="000000"/>
          <w:sz w:val="32"/>
          <w:szCs w:val="32"/>
        </w:rPr>
      </w:pPr>
      <w:r>
        <w:rPr>
          <w:rStyle w:val="9"/>
          <w:rFonts w:hint="eastAsia" w:ascii="黑体" w:eastAsia="黑体"/>
          <w:b w:val="0"/>
          <w:color w:val="000000"/>
          <w:sz w:val="32"/>
          <w:szCs w:val="32"/>
        </w:rPr>
        <w:t>一、部门概况</w:t>
      </w:r>
    </w:p>
    <w:p>
      <w:pPr>
        <w:keepNext w:val="0"/>
        <w:keepLines w:val="0"/>
        <w:pageBreakBefore w:val="0"/>
        <w:kinsoku/>
        <w:wordWrap/>
        <w:overflowPunct/>
        <w:topLinePunct w:val="0"/>
        <w:bidi w:val="0"/>
        <w:snapToGrid/>
        <w:spacing w:line="540" w:lineRule="exact"/>
        <w:ind w:firstLine="627" w:firstLineChars="196"/>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pStyle w:val="2"/>
        <w:keepNext w:val="0"/>
        <w:keepLines w:val="0"/>
        <w:pageBreakBefore w:val="0"/>
        <w:kinsoku/>
        <w:wordWrap/>
        <w:overflowPunct/>
        <w:topLinePunct w:val="0"/>
        <w:bidi w:val="0"/>
        <w:snapToGrid/>
        <w:spacing w:line="540" w:lineRule="exact"/>
        <w:ind w:firstLine="640" w:firstLineChars="200"/>
        <w:textAlignment w:val="auto"/>
        <w:rPr>
          <w:rFonts w:hint="default"/>
          <w:highlight w:val="yellow"/>
        </w:rPr>
      </w:pPr>
      <w:r>
        <w:rPr>
          <w:rFonts w:hint="eastAsia" w:ascii="仿宋_GB2312" w:eastAsia="仿宋_GB2312"/>
          <w:bCs/>
          <w:sz w:val="32"/>
          <w:szCs w:val="32"/>
        </w:rPr>
        <w:t>衢州职业技术学院是2002年经浙江省人民政府批准成立的公办全日制高等职业院校。学校办学定位是立足衢州，依托浙闽赣皖四省边际区位优势，面向市场，服务区域经济社会发展；坚持立德树人、知行合一，培养德智体美劳全面发展，具有国际视野、创新精神和实践能力，富有社会良知和工匠精神的高素质技术技能人才。</w:t>
      </w:r>
    </w:p>
    <w:p>
      <w:pPr>
        <w:keepNext w:val="0"/>
        <w:keepLines w:val="0"/>
        <w:pageBreakBefore w:val="0"/>
        <w:kinsoku/>
        <w:wordWrap/>
        <w:overflowPunct/>
        <w:topLinePunct w:val="0"/>
        <w:bidi w:val="0"/>
        <w:snapToGrid/>
        <w:spacing w:line="540" w:lineRule="exact"/>
        <w:ind w:firstLine="627" w:firstLineChars="196"/>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keepNext w:val="0"/>
        <w:keepLines w:val="0"/>
        <w:pageBreakBefore w:val="0"/>
        <w:kinsoku/>
        <w:wordWrap/>
        <w:overflowPunct/>
        <w:topLinePunct w:val="0"/>
        <w:bidi w:val="0"/>
        <w:snapToGrid/>
        <w:spacing w:line="540" w:lineRule="exact"/>
        <w:ind w:firstLine="627" w:firstLineChars="196"/>
        <w:textAlignment w:val="auto"/>
      </w:pPr>
      <w:r>
        <w:rPr>
          <w:rFonts w:hint="eastAsia" w:ascii="仿宋_GB2312" w:eastAsia="仿宋_GB2312"/>
          <w:bCs/>
          <w:sz w:val="32"/>
          <w:szCs w:val="32"/>
        </w:rPr>
        <w:t>从预算单位构成看，衢州职业技术学院（部门）预算包括</w:t>
      </w:r>
      <w:r>
        <w:rPr>
          <w:rFonts w:hint="eastAsia" w:ascii="仿宋_GB2312" w:eastAsia="仿宋_GB2312"/>
          <w:bCs/>
          <w:sz w:val="32"/>
          <w:szCs w:val="32"/>
          <w:lang w:val="en-US" w:eastAsia="zh-CN"/>
        </w:rPr>
        <w:t>部门</w:t>
      </w:r>
      <w:r>
        <w:rPr>
          <w:rFonts w:hint="eastAsia" w:ascii="仿宋_GB2312" w:eastAsia="仿宋_GB2312"/>
          <w:bCs/>
          <w:sz w:val="32"/>
          <w:szCs w:val="32"/>
        </w:rPr>
        <w:t>本级预算。</w:t>
      </w:r>
    </w:p>
    <w:p>
      <w:pPr>
        <w:keepNext w:val="0"/>
        <w:keepLines w:val="0"/>
        <w:pageBreakBefore w:val="0"/>
        <w:kinsoku/>
        <w:wordWrap/>
        <w:overflowPunct/>
        <w:topLinePunct w:val="0"/>
        <w:bidi w:val="0"/>
        <w:snapToGrid/>
        <w:spacing w:line="540" w:lineRule="exact"/>
        <w:ind w:firstLine="640" w:firstLineChars="200"/>
        <w:textAlignment w:val="auto"/>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二、2024年衢州职业技术学院（部门）部门预算安排情况说明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（一）关于衢州职业技术学院（部门）</w:t>
      </w:r>
      <w:r>
        <w:rPr>
          <w:rStyle w:val="9"/>
          <w:rFonts w:hint="eastAsia" w:ascii="楷体_GB2312" w:hAnsi="楷体_GB2312" w:eastAsia="楷体_GB2312" w:cs="楷体_GB2312"/>
          <w:b w:val="0"/>
          <w:bCs w:val="0"/>
          <w:color w:val="000000"/>
          <w:sz w:val="32"/>
          <w:szCs w:val="32"/>
        </w:rPr>
        <w:t>2024年收支预算情况的总体说明</w:t>
      </w:r>
    </w:p>
    <w:p>
      <w:pPr>
        <w:keepNext w:val="0"/>
        <w:keepLines w:val="0"/>
        <w:pageBreakBefore w:val="0"/>
        <w:kinsoku/>
        <w:wordWrap/>
        <w:overflowPunct/>
        <w:topLinePunct w:val="0"/>
        <w:bidi w:val="0"/>
        <w:snapToGrid/>
        <w:spacing w:line="540" w:lineRule="exact"/>
        <w:ind w:firstLine="480" w:firstLineChars="150"/>
        <w:textAlignment w:val="auto"/>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综合预算的原则，衢州职业技术学院（部门）</w:t>
      </w:r>
      <w:r>
        <w:rPr>
          <w:rFonts w:hint="eastAsia" w:ascii="仿宋_GB2312" w:eastAsia="仿宋_GB2312"/>
          <w:color w:val="000000"/>
          <w:sz w:val="32"/>
          <w:szCs w:val="32"/>
        </w:rPr>
        <w:t>所有收入和支出均纳入部门预算管理。收入包括：一般公共预算收入、财政专户管理资金收入、其他收入、上年结转结余；支出包括：教育支出、科学技术支出、社会保障和就业支出、卫生健康支出、农林水支出、住房保障支出。衢州职业技术学院（部门）2024年收支总预算3</w:t>
      </w:r>
      <w:r>
        <w:rPr>
          <w:rFonts w:hint="eastAsia" w:ascii="仿宋_GB2312" w:eastAsia="仿宋_GB2312"/>
          <w:color w:val="000000"/>
          <w:sz w:val="32"/>
          <w:szCs w:val="32"/>
          <w:lang w:val="en-US" w:eastAsia="zh-CN"/>
        </w:rPr>
        <w:t>0383.44</w:t>
      </w:r>
      <w:r>
        <w:rPr>
          <w:rFonts w:hint="eastAsia" w:ascii="仿宋_GB2312" w:eastAsia="仿宋_GB2312"/>
          <w:color w:val="000000"/>
          <w:sz w:val="32"/>
          <w:szCs w:val="32"/>
        </w:rPr>
        <w:t>万元。</w:t>
      </w:r>
    </w:p>
    <w:p>
      <w:pPr>
        <w:keepNext w:val="0"/>
        <w:keepLines w:val="0"/>
        <w:pageBreakBefore w:val="0"/>
        <w:kinsoku/>
        <w:wordWrap/>
        <w:overflowPunct/>
        <w:topLinePunct w:val="0"/>
        <w:bidi w:val="0"/>
        <w:snapToGrid/>
        <w:spacing w:line="540" w:lineRule="exact"/>
        <w:ind w:firstLine="642"/>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（二）关于衢州职业技术学院（部门）2024年收入预算情况说明</w:t>
      </w:r>
    </w:p>
    <w:p>
      <w:pPr>
        <w:keepNext w:val="0"/>
        <w:keepLines w:val="0"/>
        <w:pageBreakBefore w:val="0"/>
        <w:kinsoku/>
        <w:wordWrap/>
        <w:overflowPunct/>
        <w:topLinePunct w:val="0"/>
        <w:bidi w:val="0"/>
        <w:snapToGrid/>
        <w:spacing w:line="540" w:lineRule="exact"/>
        <w:ind w:firstLine="642"/>
        <w:textAlignment w:val="auto"/>
        <w:rPr>
          <w:rFonts w:hint="eastAsia" w:ascii="仿宋_GB2312" w:eastAsia="仿宋_GB2312"/>
          <w:color w:val="000000"/>
          <w:sz w:val="32"/>
          <w:szCs w:val="32"/>
        </w:rPr>
      </w:pPr>
      <w:r>
        <w:rPr>
          <w:rFonts w:hint="eastAsia" w:ascii="仿宋_GB2312" w:eastAsia="仿宋_GB2312"/>
          <w:color w:val="000000"/>
          <w:sz w:val="32"/>
          <w:szCs w:val="32"/>
        </w:rPr>
        <w:t>衢州职业技术学院（部门）2024年收入预算3</w:t>
      </w:r>
      <w:r>
        <w:rPr>
          <w:rFonts w:hint="eastAsia" w:ascii="仿宋_GB2312" w:eastAsia="仿宋_GB2312"/>
          <w:color w:val="000000"/>
          <w:sz w:val="32"/>
          <w:szCs w:val="32"/>
          <w:lang w:val="en-US" w:eastAsia="zh-CN"/>
        </w:rPr>
        <w:t>0383.44</w:t>
      </w:r>
      <w:r>
        <w:rPr>
          <w:rFonts w:hint="eastAsia" w:ascii="仿宋_GB2312" w:eastAsia="仿宋_GB2312"/>
          <w:color w:val="000000"/>
          <w:sz w:val="32"/>
          <w:szCs w:val="32"/>
        </w:rPr>
        <w:t>万元，比上年执行数减少</w:t>
      </w:r>
      <w:r>
        <w:rPr>
          <w:rFonts w:hint="eastAsia" w:ascii="仿宋_GB2312" w:eastAsia="仿宋_GB2312"/>
          <w:color w:val="000000"/>
          <w:sz w:val="32"/>
          <w:szCs w:val="32"/>
          <w:lang w:val="en-US" w:eastAsia="zh-CN"/>
        </w:rPr>
        <w:t>959.18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3.1</w:t>
      </w:r>
      <w:r>
        <w:rPr>
          <w:rFonts w:hint="eastAsia" w:ascii="仿宋_GB2312" w:eastAsia="仿宋_GB2312"/>
          <w:color w:val="000000"/>
          <w:sz w:val="32"/>
          <w:szCs w:val="32"/>
        </w:rPr>
        <w:t>%，主要是政府性基金预算收入</w:t>
      </w:r>
      <w:r>
        <w:rPr>
          <w:rFonts w:hint="eastAsia" w:ascii="仿宋_GB2312" w:eastAsia="仿宋_GB2312"/>
          <w:color w:val="000000"/>
          <w:sz w:val="32"/>
          <w:szCs w:val="32"/>
          <w:lang w:val="en-US" w:eastAsia="zh-CN"/>
        </w:rPr>
        <w:t>减少</w:t>
      </w:r>
      <w:r>
        <w:rPr>
          <w:rFonts w:hint="eastAsia" w:ascii="仿宋_GB2312" w:eastAsia="仿宋_GB2312"/>
          <w:color w:val="000000"/>
          <w:sz w:val="32"/>
          <w:szCs w:val="32"/>
        </w:rPr>
        <w:t>。</w:t>
      </w:r>
    </w:p>
    <w:p>
      <w:pPr>
        <w:keepNext w:val="0"/>
        <w:keepLines w:val="0"/>
        <w:pageBreakBefore w:val="0"/>
        <w:kinsoku/>
        <w:wordWrap/>
        <w:overflowPunct/>
        <w:topLinePunct w:val="0"/>
        <w:bidi w:val="0"/>
        <w:snapToGrid/>
        <w:spacing w:line="540" w:lineRule="exact"/>
        <w:ind w:firstLine="642"/>
        <w:textAlignment w:val="auto"/>
        <w:rPr>
          <w:rFonts w:hint="eastAsia" w:ascii="仿宋_GB2312" w:hAnsi="仿宋_GB2312" w:eastAsia="仿宋_GB2312" w:cs="仿宋_GB2312"/>
          <w:color w:val="000000"/>
          <w:sz w:val="32"/>
          <w:szCs w:val="32"/>
        </w:rPr>
      </w:pPr>
      <w:r>
        <w:rPr>
          <w:rFonts w:hint="eastAsia" w:ascii="仿宋_GB2312" w:eastAsia="仿宋_GB2312"/>
          <w:color w:val="000000"/>
          <w:sz w:val="32"/>
          <w:szCs w:val="32"/>
        </w:rPr>
        <w:t>其中：一般公共预算拨款收入18721.39万元（上年结转170.86万元），占</w:t>
      </w:r>
      <w:r>
        <w:rPr>
          <w:rFonts w:hint="eastAsia" w:ascii="仿宋_GB2312" w:eastAsia="仿宋_GB2312"/>
          <w:color w:val="000000"/>
          <w:sz w:val="32"/>
          <w:szCs w:val="32"/>
          <w:lang w:val="en-US" w:eastAsia="zh-CN"/>
        </w:rPr>
        <w:t>61.6</w:t>
      </w:r>
      <w:r>
        <w:rPr>
          <w:rFonts w:hint="eastAsia" w:ascii="仿宋_GB2312" w:eastAsia="仿宋_GB2312"/>
          <w:color w:val="000000"/>
          <w:sz w:val="32"/>
          <w:szCs w:val="32"/>
        </w:rPr>
        <w:t>%；专户资金7900.00万元，占2</w:t>
      </w:r>
      <w:r>
        <w:rPr>
          <w:rFonts w:hint="eastAsia" w:ascii="仿宋_GB2312" w:eastAsia="仿宋_GB2312"/>
          <w:color w:val="000000"/>
          <w:sz w:val="32"/>
          <w:szCs w:val="32"/>
          <w:lang w:val="en-US" w:eastAsia="zh-CN"/>
        </w:rPr>
        <w:t>6.0</w:t>
      </w:r>
      <w:r>
        <w:rPr>
          <w:rFonts w:hint="eastAsia" w:ascii="仿宋_GB2312" w:eastAsia="仿宋_GB2312"/>
          <w:color w:val="000000"/>
          <w:sz w:val="32"/>
          <w:szCs w:val="32"/>
        </w:rPr>
        <w:t>%；其他收入3762.05万元，占1</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（三）关于衢州职业技术学院（部门）2024年支出预算情况说明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衢州职业技术学院（部门）2024年支出预算3</w:t>
      </w:r>
      <w:r>
        <w:rPr>
          <w:rFonts w:hint="eastAsia" w:ascii="仿宋_GB2312" w:hAnsi="仿宋_GB2312" w:eastAsia="仿宋_GB2312" w:cs="仿宋_GB2312"/>
          <w:color w:val="000000"/>
          <w:sz w:val="32"/>
          <w:szCs w:val="32"/>
          <w:lang w:val="en-US" w:eastAsia="zh-CN"/>
        </w:rPr>
        <w:t>0383.44</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959.18</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%，主要是</w:t>
      </w:r>
      <w:r>
        <w:rPr>
          <w:rFonts w:hint="eastAsia" w:ascii="仿宋_GB2312" w:eastAsia="仿宋_GB2312"/>
          <w:color w:val="000000"/>
          <w:sz w:val="32"/>
          <w:szCs w:val="32"/>
        </w:rPr>
        <w:t>城乡社区支出</w:t>
      </w:r>
      <w:r>
        <w:rPr>
          <w:rFonts w:hint="eastAsia" w:ascii="仿宋_GB2312" w:eastAsia="仿宋_GB2312"/>
          <w:color w:val="000000"/>
          <w:sz w:val="32"/>
          <w:szCs w:val="32"/>
          <w:lang w:val="en-US" w:eastAsia="zh-CN"/>
        </w:rPr>
        <w:t>减少</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spacing w:line="540" w:lineRule="exact"/>
        <w:ind w:firstLine="630"/>
        <w:textAlignment w:val="auto"/>
        <w:rPr>
          <w:rFonts w:ascii="仿宋_GB2312" w:eastAsia="仿宋_GB2312"/>
          <w:color w:val="000000"/>
          <w:sz w:val="32"/>
          <w:szCs w:val="32"/>
        </w:rPr>
      </w:pPr>
      <w:r>
        <w:rPr>
          <w:rFonts w:hint="eastAsia" w:ascii="仿宋_GB2312" w:eastAsia="仿宋_GB2312"/>
          <w:color w:val="000000"/>
          <w:sz w:val="32"/>
          <w:szCs w:val="32"/>
        </w:rPr>
        <w:t>1.按支出功能分类，包括教育支出26673.53万元、科学技术支出21.46万元、社会保障和就业支出1444.37万元、卫生健康支出311.09万元、农林水支出57.36万元、住房保障支出1875.63万元。</w:t>
      </w:r>
    </w:p>
    <w:p>
      <w:pPr>
        <w:keepNext w:val="0"/>
        <w:keepLines w:val="0"/>
        <w:pageBreakBefore w:val="0"/>
        <w:kinsoku/>
        <w:wordWrap/>
        <w:overflowPunct/>
        <w:topLinePunct w:val="0"/>
        <w:bidi w:val="0"/>
        <w:snapToGrid/>
        <w:spacing w:line="540" w:lineRule="exact"/>
        <w:ind w:firstLine="642"/>
        <w:textAlignment w:val="auto"/>
        <w:rPr>
          <w:rFonts w:ascii="仿宋_GB2312" w:eastAsia="仿宋_GB2312"/>
          <w:color w:val="000000"/>
          <w:sz w:val="32"/>
          <w:szCs w:val="32"/>
        </w:rPr>
      </w:pPr>
      <w:r>
        <w:rPr>
          <w:rFonts w:hint="eastAsia" w:ascii="仿宋_GB2312" w:eastAsia="仿宋_GB2312"/>
          <w:color w:val="000000"/>
          <w:sz w:val="32"/>
          <w:szCs w:val="32"/>
        </w:rPr>
        <w:t>2.按支出用途分类，包括人员支出16615.38万元，占5</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.7%；日常公用支出1695.58万元，占5.</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%；项目支出1</w:t>
      </w:r>
      <w:r>
        <w:rPr>
          <w:rFonts w:hint="eastAsia" w:ascii="仿宋_GB2312" w:eastAsia="仿宋_GB2312"/>
          <w:color w:val="000000"/>
          <w:sz w:val="32"/>
          <w:szCs w:val="32"/>
          <w:lang w:val="en-US" w:eastAsia="zh-CN"/>
        </w:rPr>
        <w:t>2072.47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39.7</w:t>
      </w:r>
      <w:r>
        <w:rPr>
          <w:rFonts w:hint="eastAsia" w:ascii="仿宋_GB2312" w:eastAsia="仿宋_GB2312"/>
          <w:color w:val="000000"/>
          <w:sz w:val="32"/>
          <w:szCs w:val="32"/>
        </w:rPr>
        <w:t>%。</w:t>
      </w:r>
    </w:p>
    <w:p>
      <w:pPr>
        <w:keepNext w:val="0"/>
        <w:keepLines w:val="0"/>
        <w:pageBreakBefore w:val="0"/>
        <w:kinsoku/>
        <w:wordWrap/>
        <w:overflowPunct/>
        <w:topLinePunct w:val="0"/>
        <w:bidi w:val="0"/>
        <w:snapToGrid/>
        <w:spacing w:line="540" w:lineRule="exact"/>
        <w:ind w:firstLine="642"/>
        <w:textAlignment w:val="auto"/>
        <w:rPr>
          <w:rFonts w:ascii="仿宋_GB2312" w:eastAsia="仿宋_GB2312"/>
          <w:color w:val="000000"/>
          <w:sz w:val="32"/>
          <w:szCs w:val="32"/>
        </w:rPr>
      </w:pPr>
      <w:r>
        <w:rPr>
          <w:rFonts w:hint="eastAsia" w:ascii="仿宋_GB2312" w:eastAsia="仿宋_GB2312"/>
          <w:color w:val="000000"/>
          <w:sz w:val="32"/>
          <w:szCs w:val="32"/>
        </w:rPr>
        <w:t>年终结转结余0.00万元。</w:t>
      </w:r>
    </w:p>
    <w:p>
      <w:pPr>
        <w:keepNext w:val="0"/>
        <w:keepLines w:val="0"/>
        <w:pageBreakBefore w:val="0"/>
        <w:kinsoku/>
        <w:wordWrap/>
        <w:overflowPunct/>
        <w:topLinePunct w:val="0"/>
        <w:bidi w:val="0"/>
        <w:snapToGrid/>
        <w:spacing w:line="540" w:lineRule="exact"/>
        <w:ind w:firstLine="627" w:firstLineChars="196"/>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（四）关于衢州职业技术学院（部门）2024年财政拨款收支预算情况的总体说明</w:t>
      </w:r>
    </w:p>
    <w:p>
      <w:pPr>
        <w:keepNext w:val="0"/>
        <w:keepLines w:val="0"/>
        <w:pageBreakBefore w:val="0"/>
        <w:kinsoku/>
        <w:wordWrap/>
        <w:overflowPunct/>
        <w:topLinePunct w:val="0"/>
        <w:bidi w:val="0"/>
        <w:snapToGrid/>
        <w:spacing w:line="540"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衢州职业技术学院（部门）2024年财政拨款收支总预算1</w:t>
      </w:r>
      <w:r>
        <w:rPr>
          <w:rFonts w:hint="eastAsia" w:ascii="仿宋_GB2312" w:eastAsia="仿宋_GB2312"/>
          <w:color w:val="000000"/>
          <w:sz w:val="32"/>
          <w:szCs w:val="32"/>
          <w:lang w:val="en-US" w:eastAsia="zh-CN"/>
        </w:rPr>
        <w:t>8721.39</w:t>
      </w:r>
      <w:r>
        <w:rPr>
          <w:rFonts w:hint="eastAsia" w:ascii="仿宋_GB2312" w:eastAsia="仿宋_GB2312"/>
          <w:color w:val="000000"/>
          <w:sz w:val="32"/>
          <w:szCs w:val="32"/>
        </w:rPr>
        <w:t>万元。收入包括：一般公共预算18721.39万元；支出包括：教育支出15279.49万元、科学技术支出21.46万元、社会保障和就业支出1337.45万元、卫生健康支出150.00万元、农林水支出57.36万元、住房保障支出1875.63万元。</w:t>
      </w:r>
    </w:p>
    <w:p>
      <w:pPr>
        <w:keepNext w:val="0"/>
        <w:keepLines w:val="0"/>
        <w:pageBreakBefore w:val="0"/>
        <w:numPr>
          <w:ilvl w:val="0"/>
          <w:numId w:val="1"/>
        </w:numPr>
        <w:kinsoku/>
        <w:wordWrap/>
        <w:overflowPunct/>
        <w:topLinePunct w:val="0"/>
        <w:bidi w:val="0"/>
        <w:snapToGrid/>
        <w:spacing w:line="540" w:lineRule="exact"/>
        <w:ind w:firstLine="640"/>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关于衢州职业技术学院（部门）2024年一般公共预算拨款情况说明</w:t>
      </w:r>
    </w:p>
    <w:p>
      <w:pPr>
        <w:keepNext w:val="0"/>
        <w:keepLines w:val="0"/>
        <w:pageBreakBefore w:val="0"/>
        <w:kinsoku/>
        <w:wordWrap/>
        <w:overflowPunct/>
        <w:topLinePunct w:val="0"/>
        <w:bidi w:val="0"/>
        <w:snapToGrid/>
        <w:spacing w:line="540" w:lineRule="exact"/>
        <w:ind w:firstLine="642"/>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衢州职业技术学院（部门）2024年一般公共预算拨款18721.39万元，比上年执行数减少</w:t>
      </w:r>
      <w:r>
        <w:rPr>
          <w:rFonts w:hint="eastAsia" w:ascii="仿宋_GB2312" w:hAnsi="仿宋_GB2312" w:eastAsia="仿宋_GB2312" w:cs="仿宋_GB2312"/>
          <w:color w:val="000000"/>
          <w:sz w:val="32"/>
          <w:szCs w:val="32"/>
          <w:lang w:val="en-US" w:eastAsia="zh-CN"/>
        </w:rPr>
        <w:t>2014.58</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市级一般公共预算拨款减少</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spacing w:line="540" w:lineRule="exact"/>
        <w:ind w:firstLine="642"/>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教育支出15279.49万元，占81.6%；科学技术支出21.46万元，占0.1%；社会保障和就业支出1337.45万元，占7.</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%；卫生健康支出150.00万元，占0.8%；农林水支出57.36万元，占0.3%；住房保障支出1875.63万元，占10.0%。</w:t>
      </w:r>
    </w:p>
    <w:p>
      <w:pPr>
        <w:keepNext w:val="0"/>
        <w:keepLines w:val="0"/>
        <w:pageBreakBefore w:val="0"/>
        <w:kinsoku/>
        <w:wordWrap/>
        <w:overflowPunct/>
        <w:topLinePunct w:val="0"/>
        <w:bidi w:val="0"/>
        <w:snapToGrid/>
        <w:spacing w:line="540" w:lineRule="exact"/>
        <w:ind w:firstLine="642"/>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keepNext w:val="0"/>
        <w:keepLines w:val="0"/>
        <w:pageBreakBefore w:val="0"/>
        <w:kinsoku/>
        <w:wordWrap/>
        <w:overflowPunct/>
        <w:topLinePunct w:val="0"/>
        <w:bidi w:val="0"/>
        <w:snapToGrid/>
        <w:spacing w:line="54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（1）教育支出（类）职业教育（款）高等职业教育（项）</w:t>
      </w:r>
      <w:r>
        <w:rPr>
          <w:rFonts w:hint="eastAsia" w:ascii="仿宋_GB2312" w:hAnsi="仿宋_GB2312" w:eastAsia="仿宋_GB2312" w:cs="仿宋_GB2312"/>
          <w:color w:val="000000"/>
          <w:sz w:val="32"/>
          <w:szCs w:val="32"/>
          <w:lang w:val="en-US" w:eastAsia="zh-CN"/>
        </w:rPr>
        <w:t>13683.12</w:t>
      </w:r>
      <w:r>
        <w:rPr>
          <w:rFonts w:hint="eastAsia" w:ascii="仿宋_GB2312" w:hAnsi="仿宋_GB2312" w:eastAsia="仿宋_GB2312" w:cs="仿宋_GB2312"/>
          <w:color w:val="000000"/>
          <w:sz w:val="32"/>
          <w:szCs w:val="32"/>
        </w:rPr>
        <w:t>万元，主要用于人员经费和学生奖助学金等支出。</w:t>
      </w:r>
    </w:p>
    <w:p>
      <w:pPr>
        <w:keepNext w:val="0"/>
        <w:keepLines w:val="0"/>
        <w:pageBreakBefore w:val="0"/>
        <w:kinsoku/>
        <w:wordWrap/>
        <w:overflowPunct/>
        <w:topLinePunct w:val="0"/>
        <w:bidi w:val="0"/>
        <w:snapToGrid/>
        <w:spacing w:line="54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（2）教育支出（类）教育费附加安排的支出（款）其他教育费附加安排的支出（项）</w:t>
      </w:r>
      <w:r>
        <w:rPr>
          <w:rFonts w:hint="eastAsia" w:ascii="仿宋_GB2312" w:hAnsi="仿宋_GB2312" w:eastAsia="仿宋_GB2312" w:cs="仿宋_GB2312"/>
          <w:color w:val="000000"/>
          <w:sz w:val="32"/>
          <w:szCs w:val="32"/>
          <w:lang w:val="en-US" w:eastAsia="zh-CN"/>
        </w:rPr>
        <w:t>1596.37</w:t>
      </w:r>
      <w:r>
        <w:rPr>
          <w:rFonts w:hint="eastAsia" w:ascii="仿宋_GB2312" w:hAnsi="仿宋_GB2312" w:eastAsia="仿宋_GB2312" w:cs="仿宋_GB2312"/>
          <w:color w:val="000000"/>
          <w:sz w:val="32"/>
          <w:szCs w:val="32"/>
        </w:rPr>
        <w:t>万元，主要用于“双高计划”建设等支出。</w:t>
      </w:r>
    </w:p>
    <w:p>
      <w:pPr>
        <w:keepNext w:val="0"/>
        <w:keepLines w:val="0"/>
        <w:pageBreakBefore w:val="0"/>
        <w:kinsoku/>
        <w:wordWrap/>
        <w:overflowPunct/>
        <w:topLinePunct w:val="0"/>
        <w:bidi w:val="0"/>
        <w:snapToGrid/>
        <w:spacing w:line="54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（3）科学技术支出（类）技术研究与开发（款）其他技术研究与开发支出（项）</w:t>
      </w:r>
      <w:r>
        <w:rPr>
          <w:rFonts w:hint="eastAsia" w:ascii="仿宋_GB2312" w:hAnsi="仿宋_GB2312" w:eastAsia="仿宋_GB2312" w:cs="仿宋_GB2312"/>
          <w:color w:val="000000"/>
          <w:sz w:val="32"/>
          <w:szCs w:val="32"/>
          <w:lang w:val="en-US" w:eastAsia="zh-CN"/>
        </w:rPr>
        <w:t>12.92</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val="en-US" w:eastAsia="zh-CN"/>
        </w:rPr>
        <w:t>科</w:t>
      </w:r>
      <w:r>
        <w:rPr>
          <w:rFonts w:hint="eastAsia" w:ascii="仿宋_GB2312" w:hAnsi="仿宋_GB2312" w:eastAsia="仿宋_GB2312" w:cs="仿宋_GB2312"/>
          <w:color w:val="000000"/>
          <w:sz w:val="32"/>
          <w:szCs w:val="32"/>
        </w:rPr>
        <w:t>技</w:t>
      </w:r>
      <w:r>
        <w:rPr>
          <w:rFonts w:hint="eastAsia" w:ascii="仿宋_GB2312" w:hAnsi="仿宋_GB2312" w:eastAsia="仿宋_GB2312" w:cs="仿宋_GB2312"/>
          <w:color w:val="000000"/>
          <w:sz w:val="32"/>
          <w:szCs w:val="32"/>
          <w:lang w:val="en-US" w:eastAsia="zh-CN"/>
        </w:rPr>
        <w:t>发展专项</w:t>
      </w:r>
      <w:r>
        <w:rPr>
          <w:rFonts w:hint="eastAsia" w:ascii="仿宋_GB2312" w:hAnsi="仿宋_GB2312" w:eastAsia="仿宋_GB2312" w:cs="仿宋_GB2312"/>
          <w:color w:val="000000"/>
          <w:sz w:val="32"/>
          <w:szCs w:val="32"/>
        </w:rPr>
        <w:t>支出。</w:t>
      </w:r>
    </w:p>
    <w:p>
      <w:pPr>
        <w:keepNext w:val="0"/>
        <w:keepLines w:val="0"/>
        <w:pageBreakBefore w:val="0"/>
        <w:kinsoku/>
        <w:wordWrap/>
        <w:overflowPunct/>
        <w:topLinePunct w:val="0"/>
        <w:bidi w:val="0"/>
        <w:snapToGrid/>
        <w:spacing w:line="54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）科学技术支出（类）社会科学（款）社会科学研究（项）</w:t>
      </w:r>
      <w:r>
        <w:rPr>
          <w:rFonts w:hint="eastAsia" w:ascii="仿宋_GB2312" w:hAnsi="仿宋_GB2312" w:eastAsia="仿宋_GB2312" w:cs="仿宋_GB2312"/>
          <w:color w:val="000000"/>
          <w:sz w:val="32"/>
          <w:szCs w:val="32"/>
          <w:lang w:val="en-US" w:eastAsia="zh-CN"/>
        </w:rPr>
        <w:t>8.54</w:t>
      </w:r>
      <w:r>
        <w:rPr>
          <w:rFonts w:hint="eastAsia" w:ascii="仿宋_GB2312" w:hAnsi="仿宋_GB2312" w:eastAsia="仿宋_GB2312" w:cs="仿宋_GB2312"/>
          <w:color w:val="000000"/>
          <w:sz w:val="32"/>
          <w:szCs w:val="32"/>
        </w:rPr>
        <w:t>万元，主要用于社会科学研究支出。</w:t>
      </w:r>
    </w:p>
    <w:p>
      <w:pPr>
        <w:keepNext w:val="0"/>
        <w:keepLines w:val="0"/>
        <w:pageBreakBefore w:val="0"/>
        <w:kinsoku/>
        <w:wordWrap/>
        <w:overflowPunct/>
        <w:topLinePunct w:val="0"/>
        <w:bidi w:val="0"/>
        <w:snapToGrid/>
        <w:spacing w:line="54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lang w:val="en-US" w:eastAsia="zh-CN"/>
        </w:rPr>
        <w:t>891.63</w:t>
      </w:r>
      <w:r>
        <w:rPr>
          <w:rFonts w:hint="eastAsia" w:ascii="仿宋_GB2312" w:hAnsi="仿宋_GB2312" w:eastAsia="仿宋_GB2312" w:cs="仿宋_GB2312"/>
          <w:color w:val="000000"/>
          <w:sz w:val="32"/>
          <w:szCs w:val="32"/>
        </w:rPr>
        <w:t>万元，主要用于基本养老保险缴费。</w:t>
      </w:r>
    </w:p>
    <w:p>
      <w:pPr>
        <w:keepNext w:val="0"/>
        <w:keepLines w:val="0"/>
        <w:pageBreakBefore w:val="0"/>
        <w:kinsoku/>
        <w:wordWrap/>
        <w:overflowPunct/>
        <w:topLinePunct w:val="0"/>
        <w:bidi w:val="0"/>
        <w:snapToGrid/>
        <w:spacing w:line="54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）社会保障和就业支出（类）行政事业单位养老支出（款）机关事业单位职业年金缴费支出（项）</w:t>
      </w:r>
      <w:r>
        <w:rPr>
          <w:rFonts w:hint="eastAsia" w:ascii="仿宋_GB2312" w:hAnsi="仿宋_GB2312" w:eastAsia="仿宋_GB2312" w:cs="仿宋_GB2312"/>
          <w:color w:val="000000"/>
          <w:sz w:val="32"/>
          <w:szCs w:val="32"/>
          <w:lang w:val="en-US" w:eastAsia="zh-CN"/>
        </w:rPr>
        <w:t>445.82</w:t>
      </w:r>
      <w:r>
        <w:rPr>
          <w:rFonts w:hint="eastAsia" w:ascii="仿宋_GB2312" w:hAnsi="仿宋_GB2312" w:eastAsia="仿宋_GB2312" w:cs="仿宋_GB2312"/>
          <w:color w:val="000000"/>
          <w:sz w:val="32"/>
          <w:szCs w:val="32"/>
        </w:rPr>
        <w:t>万元，主要用于职业年金缴费。</w:t>
      </w:r>
    </w:p>
    <w:p>
      <w:pPr>
        <w:keepNext w:val="0"/>
        <w:keepLines w:val="0"/>
        <w:pageBreakBefore w:val="0"/>
        <w:kinsoku/>
        <w:wordWrap/>
        <w:overflowPunct/>
        <w:topLinePunct w:val="0"/>
        <w:bidi w:val="0"/>
        <w:snapToGrid/>
        <w:spacing w:line="54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）卫生健康支出（类）行政事业单位医疗（款）其他行政事业单位医疗支出（项）</w:t>
      </w:r>
      <w:r>
        <w:rPr>
          <w:rFonts w:hint="eastAsia" w:ascii="仿宋_GB2312" w:hAnsi="仿宋_GB2312" w:eastAsia="仿宋_GB2312" w:cs="仿宋_GB2312"/>
          <w:color w:val="000000"/>
          <w:sz w:val="32"/>
          <w:szCs w:val="32"/>
          <w:lang w:val="en-US" w:eastAsia="zh-CN"/>
        </w:rPr>
        <w:t>150.00</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val="en-US" w:eastAsia="zh-CN"/>
        </w:rPr>
        <w:t>公务员</w:t>
      </w:r>
      <w:r>
        <w:rPr>
          <w:rFonts w:hint="eastAsia" w:ascii="仿宋_GB2312" w:hAnsi="仿宋_GB2312" w:eastAsia="仿宋_GB2312" w:cs="仿宋_GB2312"/>
          <w:color w:val="000000"/>
          <w:sz w:val="32"/>
          <w:szCs w:val="32"/>
        </w:rPr>
        <w:t>医疗</w:t>
      </w:r>
      <w:r>
        <w:rPr>
          <w:rFonts w:hint="eastAsia" w:ascii="仿宋_GB2312" w:hAnsi="仿宋_GB2312" w:eastAsia="仿宋_GB2312" w:cs="仿宋_GB2312"/>
          <w:color w:val="000000"/>
          <w:sz w:val="32"/>
          <w:szCs w:val="32"/>
          <w:lang w:val="en-US" w:eastAsia="zh-CN"/>
        </w:rPr>
        <w:t>补助</w:t>
      </w:r>
      <w:r>
        <w:rPr>
          <w:rFonts w:hint="eastAsia" w:ascii="仿宋_GB2312" w:hAnsi="仿宋_GB2312" w:eastAsia="仿宋_GB2312" w:cs="仿宋_GB2312"/>
          <w:color w:val="000000"/>
          <w:sz w:val="32"/>
          <w:szCs w:val="32"/>
        </w:rPr>
        <w:t>缴费。</w:t>
      </w:r>
    </w:p>
    <w:p>
      <w:pPr>
        <w:keepNext w:val="0"/>
        <w:keepLines w:val="0"/>
        <w:pageBreakBefore w:val="0"/>
        <w:kinsoku/>
        <w:wordWrap/>
        <w:overflowPunct/>
        <w:topLinePunct w:val="0"/>
        <w:bidi w:val="0"/>
        <w:snapToGrid/>
        <w:spacing w:line="54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）农林水支出（类）农业农村（款）其他农业农村支出（项）</w:t>
      </w:r>
      <w:r>
        <w:rPr>
          <w:rFonts w:hint="eastAsia" w:ascii="仿宋_GB2312" w:hAnsi="仿宋_GB2312" w:eastAsia="仿宋_GB2312" w:cs="仿宋_GB2312"/>
          <w:color w:val="000000"/>
          <w:sz w:val="32"/>
          <w:szCs w:val="32"/>
          <w:lang w:val="en-US" w:eastAsia="zh-CN"/>
        </w:rPr>
        <w:t>57.36</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val="en-US" w:eastAsia="zh-CN"/>
        </w:rPr>
        <w:t>高素质</w:t>
      </w:r>
      <w:r>
        <w:rPr>
          <w:rFonts w:hint="eastAsia" w:ascii="仿宋_GB2312" w:hAnsi="仿宋_GB2312" w:eastAsia="仿宋_GB2312" w:cs="仿宋_GB2312"/>
          <w:color w:val="000000"/>
          <w:sz w:val="32"/>
          <w:szCs w:val="32"/>
        </w:rPr>
        <w:t>农</w:t>
      </w:r>
      <w:r>
        <w:rPr>
          <w:rFonts w:hint="eastAsia" w:ascii="仿宋_GB2312" w:hAnsi="仿宋_GB2312" w:eastAsia="仿宋_GB2312" w:cs="仿宋_GB2312"/>
          <w:color w:val="000000"/>
          <w:sz w:val="32"/>
          <w:szCs w:val="32"/>
          <w:lang w:val="en-US" w:eastAsia="zh-CN"/>
        </w:rPr>
        <w:t>民</w:t>
      </w:r>
      <w:r>
        <w:rPr>
          <w:rFonts w:hint="eastAsia" w:ascii="仿宋_GB2312" w:hAnsi="仿宋_GB2312" w:eastAsia="仿宋_GB2312" w:cs="仿宋_GB2312"/>
          <w:color w:val="000000"/>
          <w:sz w:val="32"/>
          <w:szCs w:val="32"/>
        </w:rPr>
        <w:t>培训等支出。</w:t>
      </w:r>
    </w:p>
    <w:p>
      <w:pPr>
        <w:keepNext w:val="0"/>
        <w:keepLines w:val="0"/>
        <w:pageBreakBefore w:val="0"/>
        <w:kinsoku/>
        <w:wordWrap/>
        <w:overflowPunct/>
        <w:topLinePunct w:val="0"/>
        <w:bidi w:val="0"/>
        <w:snapToGrid/>
        <w:spacing w:line="54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）住房保障支出（类）住房改革支出（款）住房公积金（项）</w:t>
      </w:r>
      <w:r>
        <w:rPr>
          <w:rFonts w:hint="eastAsia" w:ascii="仿宋_GB2312" w:hAnsi="仿宋_GB2312" w:eastAsia="仿宋_GB2312" w:cs="仿宋_GB2312"/>
          <w:color w:val="000000"/>
          <w:sz w:val="32"/>
          <w:szCs w:val="32"/>
          <w:lang w:val="en-US" w:eastAsia="zh-CN"/>
        </w:rPr>
        <w:t>1875.63</w:t>
      </w:r>
      <w:r>
        <w:rPr>
          <w:rFonts w:hint="eastAsia" w:ascii="仿宋_GB2312" w:hAnsi="仿宋_GB2312" w:eastAsia="仿宋_GB2312" w:cs="仿宋_GB2312"/>
          <w:color w:val="000000"/>
          <w:sz w:val="32"/>
          <w:szCs w:val="32"/>
        </w:rPr>
        <w:t>万元，主要用于住房公积金支出。</w:t>
      </w:r>
    </w:p>
    <w:p>
      <w:pPr>
        <w:keepNext w:val="0"/>
        <w:keepLines w:val="0"/>
        <w:pageBreakBefore w:val="0"/>
        <w:kinsoku/>
        <w:wordWrap/>
        <w:overflowPunct/>
        <w:topLinePunct w:val="0"/>
        <w:bidi w:val="0"/>
        <w:snapToGrid/>
        <w:spacing w:line="540" w:lineRule="exact"/>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（六）关于衢州职业技术学院（部门）2024年一般公共预算基本支出情况说明</w:t>
      </w:r>
    </w:p>
    <w:p>
      <w:pPr>
        <w:keepNext w:val="0"/>
        <w:keepLines w:val="0"/>
        <w:pageBreakBefore w:val="0"/>
        <w:kinsoku/>
        <w:wordWrap/>
        <w:overflowPunct/>
        <w:topLinePunct w:val="0"/>
        <w:bidi w:val="0"/>
        <w:snapToGrid/>
        <w:spacing w:line="540" w:lineRule="exact"/>
        <w:ind w:firstLine="642"/>
        <w:textAlignment w:val="auto"/>
        <w:rPr>
          <w:rFonts w:ascii="仿宋_GB2312" w:eastAsia="仿宋_GB2312"/>
          <w:color w:val="000000"/>
          <w:sz w:val="32"/>
          <w:szCs w:val="32"/>
        </w:rPr>
      </w:pPr>
      <w:r>
        <w:rPr>
          <w:rFonts w:hint="eastAsia" w:ascii="仿宋_GB2312" w:eastAsia="仿宋_GB2312"/>
          <w:color w:val="000000"/>
          <w:sz w:val="32"/>
          <w:szCs w:val="32"/>
        </w:rPr>
        <w:t>衢州职业技术学院（部门）2024年一般公共预算基本支出14724.00万元，其中：</w:t>
      </w:r>
    </w:p>
    <w:p>
      <w:pPr>
        <w:keepNext w:val="0"/>
        <w:keepLines w:val="0"/>
        <w:pageBreakBefore w:val="0"/>
        <w:kinsoku/>
        <w:wordWrap/>
        <w:overflowPunct/>
        <w:topLinePunct w:val="0"/>
        <w:bidi w:val="0"/>
        <w:snapToGrid/>
        <w:spacing w:line="540" w:lineRule="exact"/>
        <w:ind w:firstLine="642"/>
        <w:textAlignment w:val="auto"/>
        <w:rPr>
          <w:rFonts w:ascii="仿宋_GB2312" w:eastAsia="仿宋_GB2312"/>
          <w:color w:val="000000"/>
          <w:sz w:val="32"/>
          <w:szCs w:val="32"/>
        </w:rPr>
      </w:pPr>
      <w:r>
        <w:rPr>
          <w:rFonts w:hint="eastAsia" w:ascii="仿宋_GB2312" w:eastAsia="仿宋_GB2312"/>
          <w:color w:val="000000"/>
          <w:sz w:val="32"/>
          <w:szCs w:val="32"/>
        </w:rPr>
        <w:t>人员经费14724.00万元，主要包括：基本工资、绩效工资、机关事业单位基本养老保险缴费、职业年金缴费、职工基本医疗保险缴费、公务员医疗补助缴费、其他社会保障缴费、住房公积金、其他工资福利支出；</w:t>
      </w:r>
    </w:p>
    <w:p>
      <w:pPr>
        <w:keepNext w:val="0"/>
        <w:keepLines w:val="0"/>
        <w:pageBreakBefore w:val="0"/>
        <w:kinsoku/>
        <w:wordWrap/>
        <w:overflowPunct/>
        <w:topLinePunct w:val="0"/>
        <w:bidi w:val="0"/>
        <w:snapToGrid/>
        <w:spacing w:line="540" w:lineRule="exact"/>
        <w:ind w:firstLine="642"/>
        <w:textAlignment w:val="auto"/>
        <w:rPr>
          <w:rFonts w:ascii="仿宋_GB2312" w:eastAsia="仿宋_GB2312"/>
          <w:color w:val="000000"/>
          <w:sz w:val="32"/>
          <w:szCs w:val="32"/>
        </w:rPr>
      </w:pPr>
      <w:r>
        <w:rPr>
          <w:rFonts w:hint="eastAsia" w:ascii="仿宋_GB2312" w:eastAsia="仿宋_GB2312"/>
          <w:color w:val="000000"/>
          <w:sz w:val="32"/>
          <w:szCs w:val="32"/>
        </w:rPr>
        <w:t>公用经费0.00万元。</w:t>
      </w:r>
    </w:p>
    <w:p>
      <w:pPr>
        <w:keepNext w:val="0"/>
        <w:keepLines w:val="0"/>
        <w:pageBreakBefore w:val="0"/>
        <w:kinsoku/>
        <w:wordWrap/>
        <w:overflowPunct/>
        <w:topLinePunct w:val="0"/>
        <w:bidi w:val="0"/>
        <w:snapToGrid/>
        <w:spacing w:line="540" w:lineRule="exact"/>
        <w:ind w:firstLine="642"/>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（七）关于衢州职业技术学院（部门）2024年政府性基金预算支出情况说明</w:t>
      </w:r>
    </w:p>
    <w:p>
      <w:pPr>
        <w:keepNext w:val="0"/>
        <w:keepLines w:val="0"/>
        <w:pageBreakBefore w:val="0"/>
        <w:kinsoku/>
        <w:wordWrap/>
        <w:overflowPunct/>
        <w:topLinePunct w:val="0"/>
        <w:bidi w:val="0"/>
        <w:snapToGrid/>
        <w:spacing w:line="540" w:lineRule="exact"/>
        <w:ind w:firstLine="640"/>
        <w:textAlignment w:val="auto"/>
        <w:rPr>
          <w:rFonts w:ascii="仿宋_GB2312" w:hAnsi="仿宋_GB2312" w:eastAsia="仿宋_GB2312" w:cs="仿宋_GB2312"/>
          <w:color w:val="000000"/>
          <w:sz w:val="32"/>
          <w:szCs w:val="32"/>
        </w:rPr>
      </w:pPr>
      <w:r>
        <w:rPr>
          <w:rFonts w:hint="eastAsia" w:ascii="仿宋_GB2312" w:eastAsia="仿宋_GB2312"/>
          <w:color w:val="000000"/>
          <w:sz w:val="32"/>
          <w:szCs w:val="32"/>
        </w:rPr>
        <w:t>衢州职业技术学院（部门）</w:t>
      </w:r>
      <w:r>
        <w:rPr>
          <w:rFonts w:hint="eastAsia" w:ascii="仿宋_GB2312" w:hAnsi="仿宋_GB2312" w:eastAsia="仿宋_GB2312" w:cs="仿宋_GB2312"/>
          <w:color w:val="000000"/>
          <w:sz w:val="32"/>
          <w:szCs w:val="32"/>
        </w:rPr>
        <w:t>2024年没有使用政府性基金预算拨款安排的支出</w:t>
      </w:r>
      <w:r>
        <w:rPr>
          <w:rFonts w:hint="eastAsia" w:ascii="仿宋_GB2312" w:eastAsia="仿宋_GB2312"/>
          <w:color w:val="000000"/>
          <w:sz w:val="32"/>
          <w:szCs w:val="32"/>
        </w:rPr>
        <w:t>，比2023年执行数减少</w:t>
      </w:r>
      <w:r>
        <w:rPr>
          <w:rFonts w:hint="eastAsia" w:ascii="仿宋_GB2312" w:eastAsia="仿宋_GB2312"/>
          <w:color w:val="000000"/>
          <w:sz w:val="32"/>
          <w:szCs w:val="32"/>
          <w:lang w:val="en-US" w:eastAsia="zh-CN"/>
        </w:rPr>
        <w:t>725.28</w:t>
      </w:r>
      <w:r>
        <w:rPr>
          <w:rFonts w:hint="eastAsia" w:ascii="仿宋_GB2312" w:eastAsia="仿宋_GB2312"/>
          <w:color w:val="000000"/>
          <w:sz w:val="32"/>
          <w:szCs w:val="32"/>
        </w:rPr>
        <w:t>万元</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spacing w:line="540" w:lineRule="exact"/>
        <w:ind w:firstLine="642"/>
        <w:textAlignment w:val="auto"/>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（八）关于衢州职业技术学院（部门）2024年国有资本经营预算支出情况说明</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衢州职业技术学院（部门）2024年没有使用国有资本经营预算拨款安排的支出，与上年持平。</w:t>
      </w:r>
    </w:p>
    <w:p>
      <w:pPr>
        <w:keepNext w:val="0"/>
        <w:keepLines w:val="0"/>
        <w:pageBreakBefore w:val="0"/>
        <w:kinsoku/>
        <w:wordWrap/>
        <w:overflowPunct/>
        <w:topLinePunct w:val="0"/>
        <w:bidi w:val="0"/>
        <w:snapToGrid/>
        <w:spacing w:line="540" w:lineRule="exact"/>
        <w:ind w:firstLine="627" w:firstLineChars="196"/>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（九）关于衢州职业技术学院（部门）2024年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衢州职业技术学院（部门）2024年“三公”经费预算数为</w:t>
      </w:r>
      <w:r>
        <w:rPr>
          <w:rFonts w:hint="eastAsia" w:ascii="仿宋_GB2312" w:hAnsi="仿宋_GB2312" w:eastAsia="仿宋_GB2312"/>
          <w:sz w:val="32"/>
          <w:lang w:val="en-US" w:eastAsia="zh-CN"/>
        </w:rPr>
        <w:t>35</w:t>
      </w:r>
      <w:r>
        <w:rPr>
          <w:rFonts w:hint="eastAsia" w:ascii="仿宋_GB2312" w:hAnsi="仿宋_GB2312" w:eastAsia="仿宋_GB2312"/>
          <w:sz w:val="32"/>
        </w:rPr>
        <w:t>.00万元，</w:t>
      </w:r>
      <w:r>
        <w:rPr>
          <w:rFonts w:hint="eastAsia" w:ascii="仿宋_GB2312" w:hAnsi="仿宋_GB2312" w:eastAsia="仿宋_GB2312"/>
          <w:sz w:val="32"/>
          <w:shd w:val="clear" w:color="auto" w:fill="FFFFFF"/>
        </w:rPr>
        <w:t>比上年预算数增加</w:t>
      </w:r>
      <w:r>
        <w:rPr>
          <w:rFonts w:hint="eastAsia" w:ascii="仿宋_GB2312" w:hAnsi="仿宋_GB2312" w:eastAsia="仿宋_GB2312"/>
          <w:sz w:val="32"/>
          <w:lang w:val="en-US" w:eastAsia="zh-CN"/>
        </w:rPr>
        <w:t>35.00</w:t>
      </w:r>
      <w:r>
        <w:rPr>
          <w:rFonts w:hint="eastAsia" w:ascii="仿宋_GB2312" w:hAnsi="仿宋_GB2312" w:eastAsia="仿宋_GB2312"/>
          <w:sz w:val="32"/>
          <w:shd w:val="clear" w:color="auto" w:fill="FFFFFF"/>
        </w:rPr>
        <w:t>万元，增长</w:t>
      </w:r>
      <w:r>
        <w:rPr>
          <w:rFonts w:hint="eastAsia" w:ascii="仿宋_GB2312" w:hAnsi="仿宋_GB2312" w:eastAsia="仿宋_GB2312"/>
          <w:sz w:val="32"/>
          <w:shd w:val="clear" w:color="auto" w:fill="FFFFFF"/>
          <w:lang w:val="en-US" w:eastAsia="zh-CN"/>
        </w:rPr>
        <w:t>100.0</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根据因公出国计划和实际工作需要，2024年安排因公出国（境）费用预算</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.00万元，比上年预算数</w:t>
      </w:r>
      <w:r>
        <w:rPr>
          <w:rFonts w:hint="eastAsia" w:ascii="仿宋_GB2312" w:hAnsi="仿宋_GB2312" w:eastAsia="仿宋_GB2312"/>
          <w:sz w:val="32"/>
          <w:shd w:val="clear" w:color="auto" w:fill="FFFFFF"/>
        </w:rPr>
        <w:t>增加</w:t>
      </w:r>
      <w:r>
        <w:rPr>
          <w:rFonts w:hint="eastAsia" w:ascii="仿宋_GB2312" w:hAnsi="仿宋_GB2312" w:eastAsia="仿宋_GB2312"/>
          <w:sz w:val="32"/>
          <w:lang w:val="en-US" w:eastAsia="zh-CN"/>
        </w:rPr>
        <w:t>35.00</w:t>
      </w:r>
      <w:r>
        <w:rPr>
          <w:rFonts w:hint="eastAsia" w:ascii="仿宋_GB2312" w:hAnsi="仿宋_GB2312" w:eastAsia="仿宋_GB2312"/>
          <w:sz w:val="32"/>
          <w:shd w:val="clear" w:color="auto" w:fill="FFFFFF"/>
        </w:rPr>
        <w:t>万元</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highlight w:val="none"/>
          <w:lang w:val="en-US" w:eastAsia="zh-CN"/>
        </w:rPr>
        <w:t>高校教师、学生境外交流培训</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rPr>
        <w:t>公务出国（境）的国际旅费、国外城市间交通费、住宿费、伙食费、培训费、公杂费等支出。增加的主要原因是</w:t>
      </w:r>
      <w:r>
        <w:rPr>
          <w:rFonts w:hint="eastAsia" w:ascii="仿宋_GB2312" w:hAnsi="仿宋_GB2312" w:eastAsia="仿宋_GB2312" w:cs="仿宋_GB2312"/>
          <w:sz w:val="32"/>
          <w:szCs w:val="32"/>
          <w:lang w:val="en-US" w:eastAsia="zh-CN"/>
        </w:rPr>
        <w:t>高校中外合作交流培训等支出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2.公务接待费：2024年安排公务接待费预算0.00万元，</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sz w:val="32"/>
          <w:shd w:val="clear" w:color="auto" w:fill="FFFFFF"/>
          <w:lang w:val="en-US" w:eastAsia="zh-CN"/>
        </w:rPr>
        <w:t>持平</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与上年</w:t>
      </w:r>
      <w:r>
        <w:rPr>
          <w:rFonts w:hint="eastAsia" w:ascii="仿宋_GB2312" w:hAnsi="仿宋_GB2312" w:eastAsia="仿宋_GB2312" w:cs="仿宋_GB2312"/>
          <w:sz w:val="32"/>
          <w:szCs w:val="32"/>
        </w:rPr>
        <w:t>均未安排</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w:t>
      </w:r>
    </w:p>
    <w:p>
      <w:pPr>
        <w:pStyle w:val="15"/>
        <w:keepNext w:val="0"/>
        <w:keepLines w:val="0"/>
        <w:pageBreakBefore w:val="0"/>
        <w:kinsoku/>
        <w:wordWrap/>
        <w:overflowPunct/>
        <w:topLinePunct w:val="0"/>
        <w:bidi w:val="0"/>
        <w:snapToGrid/>
        <w:spacing w:line="540" w:lineRule="exact"/>
        <w:ind w:firstLine="640" w:firstLineChars="200"/>
        <w:textAlignment w:val="auto"/>
        <w:rPr>
          <w:rFonts w:ascii="仿宋_GB2312" w:eastAsia="仿宋_GB2312"/>
          <w:b/>
          <w:bCs/>
          <w:sz w:val="32"/>
          <w:szCs w:val="32"/>
        </w:rPr>
      </w:pPr>
      <w:r>
        <w:rPr>
          <w:rFonts w:hint="eastAsia" w:ascii="仿宋_GB2312" w:eastAsia="仿宋_GB2312"/>
          <w:sz w:val="32"/>
          <w:szCs w:val="32"/>
        </w:rPr>
        <w:t>3.公务用车购置及运行维护费：2024年安排公务用车购置及运行维护费预算0.00万元，</w:t>
      </w:r>
      <w:r>
        <w:rPr>
          <w:rFonts w:hint="eastAsia" w:ascii="仿宋_GB2312" w:eastAsia="仿宋_GB2312"/>
          <w:sz w:val="32"/>
          <w:szCs w:val="32"/>
          <w:lang w:val="en-US" w:eastAsia="zh-CN"/>
        </w:rPr>
        <w:t>与</w:t>
      </w:r>
      <w:r>
        <w:rPr>
          <w:rFonts w:hint="eastAsia" w:ascii="仿宋_GB2312" w:eastAsia="仿宋_GB2312"/>
          <w:sz w:val="32"/>
          <w:szCs w:val="32"/>
        </w:rPr>
        <w:t>上年预算数</w:t>
      </w:r>
      <w:r>
        <w:rPr>
          <w:rFonts w:hint="eastAsia" w:ascii="仿宋_GB2312" w:hAnsi="仿宋_GB2312" w:eastAsia="仿宋_GB2312"/>
          <w:sz w:val="32"/>
          <w:shd w:val="clear" w:color="auto" w:fill="FFFFFF"/>
          <w:lang w:val="en-US" w:eastAsia="zh-CN"/>
        </w:rPr>
        <w:t>持平</w:t>
      </w:r>
      <w:r>
        <w:rPr>
          <w:rFonts w:hint="eastAsia" w:ascii="仿宋_GB2312" w:hAnsi="Times New Roman" w:eastAsia="仿宋_GB2312" w:cs="Times New Roman"/>
          <w:sz w:val="32"/>
          <w:szCs w:val="32"/>
        </w:rPr>
        <w:t>。其中，公务用车购置支出0.00万元（含购置税等附加费用），</w:t>
      </w:r>
      <w:r>
        <w:rPr>
          <w:rFonts w:hint="eastAsia" w:ascii="仿宋_GB2312" w:eastAsia="仿宋_GB2312" w:cs="Times New Roman"/>
          <w:sz w:val="32"/>
          <w:szCs w:val="32"/>
          <w:lang w:val="en-US" w:eastAsia="zh-CN"/>
        </w:rPr>
        <w:t>与</w:t>
      </w:r>
      <w:r>
        <w:rPr>
          <w:rFonts w:hint="eastAsia" w:ascii="仿宋_GB2312" w:hAnsi="Times New Roman" w:eastAsia="仿宋_GB2312" w:cs="Times New Roman"/>
          <w:sz w:val="32"/>
          <w:szCs w:val="32"/>
        </w:rPr>
        <w:t>上年预算数</w:t>
      </w:r>
      <w:r>
        <w:rPr>
          <w:rFonts w:hint="eastAsia" w:ascii="仿宋_GB2312" w:eastAsia="仿宋_GB2312" w:cs="Times New Roman"/>
          <w:sz w:val="32"/>
          <w:szCs w:val="32"/>
          <w:lang w:val="en-US" w:eastAsia="zh-CN"/>
        </w:rPr>
        <w:t>持平</w:t>
      </w:r>
      <w:r>
        <w:rPr>
          <w:rFonts w:hint="eastAsia" w:ascii="仿宋_GB2312" w:hAnsi="Times New Roman" w:eastAsia="仿宋_GB2312" w:cs="Times New Roman"/>
          <w:sz w:val="32"/>
          <w:szCs w:val="32"/>
        </w:rPr>
        <w:t>，主要原因是</w:t>
      </w:r>
      <w:r>
        <w:rPr>
          <w:rFonts w:hint="eastAsia" w:ascii="仿宋_GB2312" w:eastAsia="仿宋_GB2312" w:cs="Times New Roman"/>
          <w:sz w:val="32"/>
          <w:szCs w:val="32"/>
          <w:lang w:val="en-US" w:eastAsia="zh-CN"/>
        </w:rPr>
        <w:t>本年与上</w:t>
      </w:r>
      <w:r>
        <w:rPr>
          <w:rFonts w:hint="eastAsia" w:ascii="仿宋_GB2312" w:hAnsi="Times New Roman" w:eastAsia="仿宋_GB2312" w:cs="Times New Roman"/>
          <w:sz w:val="32"/>
          <w:szCs w:val="32"/>
        </w:rPr>
        <w:t>年均未安排</w:t>
      </w:r>
      <w:r>
        <w:rPr>
          <w:rFonts w:hint="eastAsia" w:ascii="仿宋_GB2312" w:eastAsia="仿宋_GB2312" w:cs="Times New Roman"/>
          <w:sz w:val="32"/>
          <w:szCs w:val="32"/>
          <w:lang w:val="en-US" w:eastAsia="zh-CN"/>
        </w:rPr>
        <w:t>预算</w:t>
      </w:r>
      <w:r>
        <w:rPr>
          <w:rFonts w:hint="eastAsia" w:ascii="仿宋_GB2312" w:hAnsi="Times New Roman" w:eastAsia="仿宋_GB2312" w:cs="Times New Roman"/>
          <w:sz w:val="32"/>
          <w:szCs w:val="32"/>
        </w:rPr>
        <w:t>；公务用车运行维护费支出0.00万元，</w:t>
      </w:r>
      <w:r>
        <w:rPr>
          <w:rFonts w:hint="eastAsia" w:ascii="仿宋_GB2312" w:eastAsia="仿宋_GB2312" w:cs="Times New Roman"/>
          <w:sz w:val="32"/>
          <w:szCs w:val="32"/>
          <w:lang w:val="en-US" w:eastAsia="zh-CN"/>
        </w:rPr>
        <w:t>与</w:t>
      </w:r>
      <w:r>
        <w:rPr>
          <w:rFonts w:hint="eastAsia" w:ascii="仿宋_GB2312" w:hAnsi="Times New Roman" w:eastAsia="仿宋_GB2312" w:cs="Times New Roman"/>
          <w:sz w:val="32"/>
          <w:szCs w:val="32"/>
        </w:rPr>
        <w:t>上年预算数</w:t>
      </w:r>
      <w:r>
        <w:rPr>
          <w:rFonts w:hint="eastAsia" w:ascii="仿宋_GB2312" w:eastAsia="仿宋_GB2312" w:cs="Times New Roman"/>
          <w:sz w:val="32"/>
          <w:szCs w:val="32"/>
          <w:lang w:val="en-US" w:eastAsia="zh-CN"/>
        </w:rPr>
        <w:t>持平</w:t>
      </w:r>
      <w:r>
        <w:rPr>
          <w:rFonts w:hint="eastAsia" w:ascii="仿宋_GB2312" w:hAnsi="Times New Roman" w:eastAsia="仿宋_GB2312" w:cs="Times New Roman"/>
          <w:sz w:val="32"/>
          <w:szCs w:val="32"/>
        </w:rPr>
        <w:t>，主要原因是</w:t>
      </w:r>
      <w:r>
        <w:rPr>
          <w:rFonts w:hint="eastAsia" w:ascii="仿宋_GB2312" w:eastAsia="仿宋_GB2312" w:cs="Times New Roman"/>
          <w:sz w:val="32"/>
          <w:szCs w:val="32"/>
          <w:lang w:val="en-US" w:eastAsia="zh-CN"/>
        </w:rPr>
        <w:t>本年与上</w:t>
      </w:r>
      <w:r>
        <w:rPr>
          <w:rFonts w:hint="eastAsia" w:ascii="仿宋_GB2312" w:hAnsi="Times New Roman" w:eastAsia="仿宋_GB2312" w:cs="Times New Roman"/>
          <w:sz w:val="32"/>
          <w:szCs w:val="32"/>
        </w:rPr>
        <w:t>年均未安排</w:t>
      </w:r>
      <w:r>
        <w:rPr>
          <w:rFonts w:hint="eastAsia" w:ascii="仿宋_GB2312" w:eastAsia="仿宋_GB2312" w:cs="Times New Roman"/>
          <w:sz w:val="32"/>
          <w:szCs w:val="32"/>
          <w:lang w:val="en-US" w:eastAsia="zh-CN"/>
        </w:rPr>
        <w:t>预算</w:t>
      </w:r>
      <w:r>
        <w:rPr>
          <w:rFonts w:hint="eastAsia" w:ascii="仿宋_GB2312" w:hAnsi="Times New Roman" w:eastAsia="仿宋_GB2312" w:cs="Times New Roman"/>
          <w:sz w:val="32"/>
          <w:szCs w:val="32"/>
        </w:rPr>
        <w:t>。</w:t>
      </w:r>
    </w:p>
    <w:p>
      <w:pPr>
        <w:keepNext w:val="0"/>
        <w:keepLines w:val="0"/>
        <w:pageBreakBefore w:val="0"/>
        <w:kinsoku/>
        <w:wordWrap/>
        <w:overflowPunct/>
        <w:topLinePunct w:val="0"/>
        <w:bidi w:val="0"/>
        <w:snapToGrid/>
        <w:spacing w:line="540" w:lineRule="exact"/>
        <w:ind w:firstLine="627" w:firstLineChars="196"/>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keepNext w:val="0"/>
        <w:keepLines w:val="0"/>
        <w:pageBreakBefore w:val="0"/>
        <w:kinsoku/>
        <w:wordWrap/>
        <w:overflowPunct/>
        <w:topLinePunct w:val="0"/>
        <w:bidi w:val="0"/>
        <w:snapToGrid/>
        <w:spacing w:line="540" w:lineRule="exact"/>
        <w:ind w:firstLine="642"/>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w:t>
      </w:r>
      <w:r>
        <w:rPr>
          <w:rFonts w:hint="eastAsia" w:ascii="仿宋_GB2312" w:eastAsia="仿宋_GB2312"/>
          <w:b/>
          <w:bCs/>
          <w:sz w:val="32"/>
          <w:szCs w:val="32"/>
        </w:rPr>
        <w:t>政府采购情况</w:t>
      </w:r>
      <w:r>
        <w:rPr>
          <w:rFonts w:hint="eastAsia" w:ascii="仿宋_GB2312" w:hAnsi="仿宋_GB2312" w:eastAsia="仿宋_GB2312" w:cs="仿宋_GB2312"/>
          <w:b/>
          <w:color w:val="000000"/>
          <w:sz w:val="32"/>
          <w:szCs w:val="32"/>
        </w:rPr>
        <w:t>。</w:t>
      </w:r>
    </w:p>
    <w:p>
      <w:pPr>
        <w:pStyle w:val="15"/>
        <w:keepNext w:val="0"/>
        <w:keepLines w:val="0"/>
        <w:pageBreakBefore w:val="0"/>
        <w:kinsoku/>
        <w:wordWrap/>
        <w:overflowPunct/>
        <w:topLinePunct w:val="0"/>
        <w:bidi w:val="0"/>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2024年衢州职业技术学院（部门）各单位政府采购预算总额</w:t>
      </w:r>
      <w:r>
        <w:rPr>
          <w:rFonts w:hint="eastAsia" w:ascii="仿宋_GB2312" w:eastAsia="仿宋_GB2312"/>
          <w:sz w:val="32"/>
          <w:szCs w:val="32"/>
          <w:lang w:val="en-US" w:eastAsia="zh-CN"/>
        </w:rPr>
        <w:t>2943.82</w:t>
      </w:r>
      <w:r>
        <w:rPr>
          <w:rFonts w:hint="eastAsia" w:ascii="仿宋_GB2312" w:eastAsia="仿宋_GB2312"/>
          <w:sz w:val="32"/>
          <w:szCs w:val="32"/>
        </w:rPr>
        <w:t>万元，其中：政府采购货物预算</w:t>
      </w:r>
      <w:r>
        <w:rPr>
          <w:rFonts w:hint="eastAsia" w:ascii="仿宋_GB2312" w:eastAsia="仿宋_GB2312"/>
          <w:sz w:val="32"/>
          <w:szCs w:val="32"/>
          <w:lang w:val="en-US" w:eastAsia="zh-CN"/>
        </w:rPr>
        <w:t>1788.87</w:t>
      </w:r>
      <w:r>
        <w:rPr>
          <w:rFonts w:hint="eastAsia" w:ascii="仿宋_GB2312" w:eastAsia="仿宋_GB2312"/>
          <w:sz w:val="32"/>
          <w:szCs w:val="32"/>
        </w:rPr>
        <w:t>万元、政府采购工程预算</w:t>
      </w:r>
      <w:r>
        <w:rPr>
          <w:rFonts w:hint="eastAsia" w:ascii="仿宋_GB2312" w:eastAsia="仿宋_GB2312"/>
          <w:sz w:val="32"/>
          <w:szCs w:val="32"/>
          <w:lang w:val="en-US" w:eastAsia="zh-CN"/>
        </w:rPr>
        <w:t>0.0</w:t>
      </w:r>
      <w:r>
        <w:rPr>
          <w:rFonts w:hint="eastAsia" w:ascii="仿宋_GB2312" w:eastAsia="仿宋_GB2312"/>
          <w:sz w:val="32"/>
          <w:szCs w:val="32"/>
        </w:rPr>
        <w:t>0万元、政府采购服务预算11</w:t>
      </w:r>
      <w:r>
        <w:rPr>
          <w:rFonts w:hint="eastAsia" w:ascii="仿宋_GB2312" w:eastAsia="仿宋_GB2312"/>
          <w:sz w:val="32"/>
          <w:szCs w:val="32"/>
          <w:lang w:val="en-US" w:eastAsia="zh-CN"/>
        </w:rPr>
        <w:t>54.95</w:t>
      </w:r>
      <w:r>
        <w:rPr>
          <w:rFonts w:hint="eastAsia" w:ascii="仿宋_GB2312" w:eastAsia="仿宋_GB2312"/>
          <w:color w:val="000000"/>
          <w:sz w:val="32"/>
          <w:szCs w:val="32"/>
        </w:rPr>
        <w:t>万元。</w:t>
      </w:r>
    </w:p>
    <w:p>
      <w:pPr>
        <w:pStyle w:val="15"/>
        <w:keepNext w:val="0"/>
        <w:keepLines w:val="0"/>
        <w:pageBreakBefore w:val="0"/>
        <w:kinsoku/>
        <w:wordWrap/>
        <w:overflowPunct/>
        <w:topLinePunct w:val="0"/>
        <w:autoSpaceDE/>
        <w:autoSpaceDN/>
        <w:bidi w:val="0"/>
        <w:adjustRightInd/>
        <w:snapToGrid/>
        <w:spacing w:line="540" w:lineRule="exact"/>
        <w:ind w:firstLine="642"/>
        <w:textAlignment w:val="auto"/>
        <w:rPr>
          <w:rFonts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.国有资产占有使用情况。</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截至2023年12月31日，衢州职业技术学院（部门）所属各预算单位共有车辆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2024年部门预算安排购置车辆</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辆。2024年部门预算安排购置单位价值50万元以上通用设备</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台（套）。</w:t>
      </w:r>
    </w:p>
    <w:p>
      <w:pPr>
        <w:pStyle w:val="15"/>
        <w:keepNext w:val="0"/>
        <w:keepLines w:val="0"/>
        <w:pageBreakBefore w:val="0"/>
        <w:kinsoku/>
        <w:wordWrap/>
        <w:overflowPunct/>
        <w:topLinePunct w:val="0"/>
        <w:autoSpaceDE/>
        <w:autoSpaceDN/>
        <w:bidi w:val="0"/>
        <w:adjustRightInd/>
        <w:snapToGrid/>
        <w:spacing w:line="540" w:lineRule="exact"/>
        <w:textAlignment w:val="auto"/>
        <w:rPr>
          <w:rFonts w:ascii="仿宋_GB2312" w:eastAsia="仿宋_GB2312"/>
          <w:b/>
          <w:bCs/>
          <w:sz w:val="32"/>
          <w:szCs w:val="32"/>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.预算绩效情况说明。</w:t>
      </w:r>
    </w:p>
    <w:p>
      <w:pPr>
        <w:keepNext w:val="0"/>
        <w:keepLines w:val="0"/>
        <w:pageBreakBefore w:val="0"/>
        <w:kinsoku/>
        <w:wordWrap/>
        <w:overflowPunct/>
        <w:topLinePunct w:val="0"/>
        <w:autoSpaceDE/>
        <w:autoSpaceDN/>
        <w:bidi w:val="0"/>
        <w:adjustRightInd/>
        <w:snapToGrid/>
        <w:spacing w:line="540" w:lineRule="exact"/>
        <w:ind w:firstLine="664" w:firstLineChars="200"/>
        <w:textAlignment w:val="auto"/>
      </w:pPr>
      <w:r>
        <w:rPr>
          <w:rFonts w:hint="eastAsia" w:ascii="仿宋_GB2312" w:hAnsi="仿宋_GB2312" w:eastAsia="仿宋_GB2312" w:cs="仿宋_GB2312"/>
          <w:spacing w:val="6"/>
          <w:sz w:val="32"/>
          <w:szCs w:val="32"/>
        </w:rPr>
        <w:t>2024年衢州职业技术学院（部门）其他运转类项目和特定目标类项目均实行绩效目标管理，共计4个一级项目，涉及当年资金1</w:t>
      </w:r>
      <w:r>
        <w:rPr>
          <w:rFonts w:hint="eastAsia" w:ascii="仿宋_GB2312" w:hAnsi="仿宋_GB2312" w:eastAsia="仿宋_GB2312" w:cs="仿宋_GB2312"/>
          <w:spacing w:val="6"/>
          <w:sz w:val="32"/>
          <w:szCs w:val="32"/>
          <w:lang w:val="en-US" w:eastAsia="zh-CN"/>
        </w:rPr>
        <w:t>2072.47</w:t>
      </w:r>
      <w:r>
        <w:rPr>
          <w:rFonts w:hint="eastAsia" w:ascii="仿宋_GB2312" w:hAnsi="仿宋_GB2312" w:eastAsia="仿宋_GB2312" w:cs="仿宋_GB2312"/>
          <w:spacing w:val="6"/>
          <w:sz w:val="32"/>
          <w:szCs w:val="32"/>
        </w:rPr>
        <w:t>万元。同时，将按照相关制度规定开展绩效自评。一级项目绩效目标表，详见“部门项目支出绩效</w:t>
      </w:r>
      <w:r>
        <w:rPr>
          <w:rFonts w:ascii="仿宋_GB2312" w:hAnsi="仿宋_GB2312" w:eastAsia="仿宋_GB2312" w:cs="仿宋_GB2312"/>
          <w:sz w:val="32"/>
          <w:szCs w:val="32"/>
        </w:rPr>
        <w:t>表”</w:t>
      </w:r>
      <w:r>
        <w:rPr>
          <w:rFonts w:hint="eastAsia" w:ascii="仿宋_GB2312" w:hAnsi="仿宋_GB2312" w:eastAsia="仿宋_GB2312" w:cs="仿宋_GB2312"/>
          <w:sz w:val="32"/>
          <w:szCs w:val="32"/>
        </w:rPr>
        <w:t>。</w:t>
      </w:r>
    </w:p>
    <w:p>
      <w:pPr>
        <w:pStyle w:val="15"/>
        <w:keepNext w:val="0"/>
        <w:keepLines w:val="0"/>
        <w:pageBreakBefore w:val="0"/>
        <w:kinsoku/>
        <w:wordWrap/>
        <w:overflowPunct/>
        <w:topLinePunct w:val="0"/>
        <w:bidi w:val="0"/>
        <w:snapToGrid/>
        <w:spacing w:line="540" w:lineRule="exact"/>
        <w:ind w:firstLine="640" w:firstLineChars="200"/>
        <w:textAlignment w:val="auto"/>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2.财政专户管理资金:教育收费作为本部门的事业收入，纳入财政专户管理的资金。</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3.事业收入：事业单位开展专业业务活动及辅助活动所取得的收入，不含财政专户管理资金收入。</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预算”“国有资本经营预算”“财政专户管理资金”“事业收入”“事业单位经营收入”“上级补助收入”和“附属单位上缴收入”等之外取得的各项收入。</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6.上年结转：指以前年度尚未完成、结转到本年仍按原规定用途继续使用的资金。</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7.基本支出：是预算单位为保障其正常运转，完成日常工作任务所发生的支出，包括人员支出和日常公用支出。</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8.项目支出：是预算单位为完成其特定的行政工作任务或事业发展目标所发生的支出。</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9.经营支出：指事业单位在专业业务活动及其辅助活动之外开展非独立核算经营活动发生的支出。</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教育支出（类）职业教育（款）高等职业教育（项）：指反映各部门举办的本科、专科层次职业教育支出。政府各部门对社会组织等举办的本科、专科层次职业院校的资助，如捐赠、补贴等，也在本科目中反映。</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.教育支出（类）教育费附加安排的支出（款）其他教育费附加安排的支出（项）：指反映除上述项目以外的教育费附加支出。</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.科学技术支出（类）技术研究与开发（款）其他技术研究与开发支出（项）：指反映除上述项目以外其他用于技术研究与开发方面的支出。</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.科学技术支出（类）社会科学（款）社会科学研究（项）：指反映除社科基金支出外的社会科学研究支出。</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.社会保障和就业支出（类）行政事业单位养老支出（款）机关事业单位基本养老保险缴费支出（项）：指反映机关事业单位实施养老保险制度由单位缴纳的基本养老保险费支出。</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.社会保障和就业支出（类）行政事业单位养老支出（款）机关事业单位职业年金缴费支出（项）：指反映机关事业单位实施养老保险制度由单位实际缴纳的职业年金支出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含职业年金补记支出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.社会保障和就业支出（类）行政事业单位养老支出（款）其他行政事业单位养老支出（项）：指反映除上述项目以外其他用于行政事业单位养老方面的支出。</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.卫生健康支出（类）行政事业单位医疗（款）其他行政事业单位医疗支出（项）：指反映除上述项目以外的其他用于行政事业单位医疗方面的支出。</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.农林水支出（类）农业农村（款）其他农业农村支出（项）：指反映除上述项目以外其他用于农业农村方面的支出。</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.住房保障支出（类）住房改革支出（款）住房公积金（项）：指反映行政事业单位按人力资源和社会保障部、财政部规定的基本工资和津贴补贴以及规定比例为职工缴纳的住房公积金。</w:t>
      </w:r>
    </w:p>
    <w:p>
      <w:pPr>
        <w:pStyle w:val="15"/>
        <w:keepNext w:val="0"/>
        <w:keepLines w:val="0"/>
        <w:pageBreakBefore w:val="0"/>
        <w:kinsoku/>
        <w:wordWrap/>
        <w:overflowPunct/>
        <w:topLinePunct w:val="0"/>
        <w:bidi w:val="0"/>
        <w:snapToGrid/>
        <w:spacing w:line="540"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lang w:val="en-US" w:eastAsia="zh-CN"/>
        </w:rPr>
        <w:t>四</w:t>
      </w:r>
      <w:r>
        <w:rPr>
          <w:rFonts w:hint="eastAsia" w:ascii="黑体" w:hAnsi="黑体" w:eastAsia="黑体" w:cs="黑体"/>
          <w:bCs/>
          <w:kern w:val="2"/>
          <w:sz w:val="32"/>
          <w:szCs w:val="32"/>
        </w:rPr>
        <w:t>、</w:t>
      </w:r>
      <w:r>
        <w:rPr>
          <w:rStyle w:val="9"/>
          <w:rFonts w:hint="eastAsia" w:ascii="黑体" w:eastAsia="黑体"/>
          <w:b w:val="0"/>
          <w:color w:val="000000"/>
          <w:sz w:val="32"/>
          <w:szCs w:val="32"/>
        </w:rPr>
        <w:t>2024年衢州职业技术学院（部门）部门预算表</w:t>
      </w:r>
      <w:bookmarkStart w:id="0" w:name="_GoBack"/>
      <w:bookmarkEnd w:id="0"/>
    </w:p>
    <w:sectPr>
      <w:footerReference r:id="rId3" w:type="default"/>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MjI5MDA0ODE4MDg3MzZkMjY2ZmM3NjEwNTI2NTAifQ=="/>
  </w:docVars>
  <w:rsids>
    <w:rsidRoot w:val="0018453C"/>
    <w:rsid w:val="0002642F"/>
    <w:rsid w:val="00037FBA"/>
    <w:rsid w:val="00084C3B"/>
    <w:rsid w:val="000F6704"/>
    <w:rsid w:val="0014553D"/>
    <w:rsid w:val="00151805"/>
    <w:rsid w:val="0018453C"/>
    <w:rsid w:val="00225BBF"/>
    <w:rsid w:val="00233C98"/>
    <w:rsid w:val="0025199F"/>
    <w:rsid w:val="00262069"/>
    <w:rsid w:val="00262BFB"/>
    <w:rsid w:val="0029677C"/>
    <w:rsid w:val="002D46DD"/>
    <w:rsid w:val="002E190E"/>
    <w:rsid w:val="00312421"/>
    <w:rsid w:val="0034320B"/>
    <w:rsid w:val="0035041B"/>
    <w:rsid w:val="003533AA"/>
    <w:rsid w:val="00372A55"/>
    <w:rsid w:val="0039638D"/>
    <w:rsid w:val="003A54FF"/>
    <w:rsid w:val="003C7BA3"/>
    <w:rsid w:val="00406DF5"/>
    <w:rsid w:val="004B141E"/>
    <w:rsid w:val="004B1C55"/>
    <w:rsid w:val="004C1A7E"/>
    <w:rsid w:val="004F65D0"/>
    <w:rsid w:val="004F6D96"/>
    <w:rsid w:val="0054517F"/>
    <w:rsid w:val="0055355B"/>
    <w:rsid w:val="00576237"/>
    <w:rsid w:val="005C2E6B"/>
    <w:rsid w:val="005E47B3"/>
    <w:rsid w:val="005E7D52"/>
    <w:rsid w:val="00655F61"/>
    <w:rsid w:val="00667EBC"/>
    <w:rsid w:val="006C39E2"/>
    <w:rsid w:val="006D5442"/>
    <w:rsid w:val="006D7FE3"/>
    <w:rsid w:val="006E0740"/>
    <w:rsid w:val="006E085B"/>
    <w:rsid w:val="006F455E"/>
    <w:rsid w:val="007072D9"/>
    <w:rsid w:val="0073245A"/>
    <w:rsid w:val="007715EF"/>
    <w:rsid w:val="007A0C65"/>
    <w:rsid w:val="007B431F"/>
    <w:rsid w:val="007E4CC3"/>
    <w:rsid w:val="007E5EFB"/>
    <w:rsid w:val="00801E01"/>
    <w:rsid w:val="00834DDF"/>
    <w:rsid w:val="00850DC9"/>
    <w:rsid w:val="00882C0A"/>
    <w:rsid w:val="0089440C"/>
    <w:rsid w:val="00916ABC"/>
    <w:rsid w:val="009415A1"/>
    <w:rsid w:val="009427F2"/>
    <w:rsid w:val="00943339"/>
    <w:rsid w:val="009444AA"/>
    <w:rsid w:val="009A7459"/>
    <w:rsid w:val="009B71E7"/>
    <w:rsid w:val="009C4B77"/>
    <w:rsid w:val="00A76362"/>
    <w:rsid w:val="00A86842"/>
    <w:rsid w:val="00AB2741"/>
    <w:rsid w:val="00AC7742"/>
    <w:rsid w:val="00B109C2"/>
    <w:rsid w:val="00B11C03"/>
    <w:rsid w:val="00B7532A"/>
    <w:rsid w:val="00BA6311"/>
    <w:rsid w:val="00C35F38"/>
    <w:rsid w:val="00C47BB8"/>
    <w:rsid w:val="00C52D1F"/>
    <w:rsid w:val="00C75827"/>
    <w:rsid w:val="00CA4684"/>
    <w:rsid w:val="00CE3F52"/>
    <w:rsid w:val="00D81B35"/>
    <w:rsid w:val="00DA6F5B"/>
    <w:rsid w:val="00DA7F84"/>
    <w:rsid w:val="00E16E78"/>
    <w:rsid w:val="00E20FB4"/>
    <w:rsid w:val="00E37BE0"/>
    <w:rsid w:val="00E40834"/>
    <w:rsid w:val="00E429D8"/>
    <w:rsid w:val="00E44C58"/>
    <w:rsid w:val="00E72378"/>
    <w:rsid w:val="00E925CD"/>
    <w:rsid w:val="00F23B56"/>
    <w:rsid w:val="00F56A05"/>
    <w:rsid w:val="00F6374C"/>
    <w:rsid w:val="00F7116F"/>
    <w:rsid w:val="00F73C07"/>
    <w:rsid w:val="00F82550"/>
    <w:rsid w:val="00FB1AD5"/>
    <w:rsid w:val="01405C62"/>
    <w:rsid w:val="014B35DA"/>
    <w:rsid w:val="015C0D77"/>
    <w:rsid w:val="01F263DB"/>
    <w:rsid w:val="024C6702"/>
    <w:rsid w:val="02632622"/>
    <w:rsid w:val="026505B4"/>
    <w:rsid w:val="028630A1"/>
    <w:rsid w:val="0287753C"/>
    <w:rsid w:val="0332621A"/>
    <w:rsid w:val="03AA3E3B"/>
    <w:rsid w:val="03EA5C50"/>
    <w:rsid w:val="04155C7A"/>
    <w:rsid w:val="044F0706"/>
    <w:rsid w:val="05054F3D"/>
    <w:rsid w:val="05227854"/>
    <w:rsid w:val="053757F4"/>
    <w:rsid w:val="0538011A"/>
    <w:rsid w:val="054D0FA3"/>
    <w:rsid w:val="05F46152"/>
    <w:rsid w:val="05F835B0"/>
    <w:rsid w:val="06231E4A"/>
    <w:rsid w:val="063B27DE"/>
    <w:rsid w:val="065E25EC"/>
    <w:rsid w:val="06835E42"/>
    <w:rsid w:val="06905BE4"/>
    <w:rsid w:val="06C70A28"/>
    <w:rsid w:val="06FC7ED4"/>
    <w:rsid w:val="07623DA7"/>
    <w:rsid w:val="077B34F3"/>
    <w:rsid w:val="07907D66"/>
    <w:rsid w:val="07AE1D0E"/>
    <w:rsid w:val="07BB3719"/>
    <w:rsid w:val="07BE62CF"/>
    <w:rsid w:val="081119C7"/>
    <w:rsid w:val="081A0728"/>
    <w:rsid w:val="08BB280E"/>
    <w:rsid w:val="08DE4DFD"/>
    <w:rsid w:val="08FE14ED"/>
    <w:rsid w:val="09151F1E"/>
    <w:rsid w:val="096630E7"/>
    <w:rsid w:val="09C31824"/>
    <w:rsid w:val="0A1D1E06"/>
    <w:rsid w:val="0A4C7CCD"/>
    <w:rsid w:val="0B486D9D"/>
    <w:rsid w:val="0B495EAF"/>
    <w:rsid w:val="0B5C3E34"/>
    <w:rsid w:val="0BD448F3"/>
    <w:rsid w:val="0C2B5DD5"/>
    <w:rsid w:val="0C5A09B6"/>
    <w:rsid w:val="0C7B7749"/>
    <w:rsid w:val="0CE1722F"/>
    <w:rsid w:val="0CE2397A"/>
    <w:rsid w:val="0CEE5818"/>
    <w:rsid w:val="0D163E14"/>
    <w:rsid w:val="0D466B4A"/>
    <w:rsid w:val="0DDF3EA9"/>
    <w:rsid w:val="0E0367E9"/>
    <w:rsid w:val="0E116AEE"/>
    <w:rsid w:val="0ECC307F"/>
    <w:rsid w:val="0F0A0BC6"/>
    <w:rsid w:val="0F3E23E2"/>
    <w:rsid w:val="0F4E618A"/>
    <w:rsid w:val="0F5C4EB1"/>
    <w:rsid w:val="0F760C96"/>
    <w:rsid w:val="0F8A613A"/>
    <w:rsid w:val="0FAC4C5F"/>
    <w:rsid w:val="0FFC24E5"/>
    <w:rsid w:val="10107404"/>
    <w:rsid w:val="1085571C"/>
    <w:rsid w:val="10DC4B86"/>
    <w:rsid w:val="11387C8E"/>
    <w:rsid w:val="118570B0"/>
    <w:rsid w:val="119C1C51"/>
    <w:rsid w:val="11E15093"/>
    <w:rsid w:val="11E85CAC"/>
    <w:rsid w:val="11ED1C8A"/>
    <w:rsid w:val="1202500A"/>
    <w:rsid w:val="124E1058"/>
    <w:rsid w:val="12970A77"/>
    <w:rsid w:val="12B72665"/>
    <w:rsid w:val="12D300E7"/>
    <w:rsid w:val="132D4308"/>
    <w:rsid w:val="136046DE"/>
    <w:rsid w:val="13725DAD"/>
    <w:rsid w:val="137E6912"/>
    <w:rsid w:val="13811EEE"/>
    <w:rsid w:val="144D5ECF"/>
    <w:rsid w:val="14EF3497"/>
    <w:rsid w:val="150D17CE"/>
    <w:rsid w:val="153C45B3"/>
    <w:rsid w:val="15420797"/>
    <w:rsid w:val="157947AC"/>
    <w:rsid w:val="15910B7E"/>
    <w:rsid w:val="1594241D"/>
    <w:rsid w:val="159643E7"/>
    <w:rsid w:val="15C2342E"/>
    <w:rsid w:val="15DB09EF"/>
    <w:rsid w:val="16322361"/>
    <w:rsid w:val="1650535C"/>
    <w:rsid w:val="165642D9"/>
    <w:rsid w:val="16F374C9"/>
    <w:rsid w:val="17BA0860"/>
    <w:rsid w:val="17EC7FC1"/>
    <w:rsid w:val="17F81734"/>
    <w:rsid w:val="180D7344"/>
    <w:rsid w:val="188F715A"/>
    <w:rsid w:val="18D04290"/>
    <w:rsid w:val="18EF3804"/>
    <w:rsid w:val="195C3A7E"/>
    <w:rsid w:val="1A14325B"/>
    <w:rsid w:val="1A2375F0"/>
    <w:rsid w:val="1A584361"/>
    <w:rsid w:val="1A9C6906"/>
    <w:rsid w:val="1AC0275A"/>
    <w:rsid w:val="1B1D1342"/>
    <w:rsid w:val="1B210BF7"/>
    <w:rsid w:val="1B21400E"/>
    <w:rsid w:val="1B2A6629"/>
    <w:rsid w:val="1C103D2D"/>
    <w:rsid w:val="1C1965EC"/>
    <w:rsid w:val="1C652CAB"/>
    <w:rsid w:val="1C7701B9"/>
    <w:rsid w:val="1D6D3C7F"/>
    <w:rsid w:val="1D9358AD"/>
    <w:rsid w:val="1D99665F"/>
    <w:rsid w:val="1DF4614E"/>
    <w:rsid w:val="1E2850F6"/>
    <w:rsid w:val="1E475FB1"/>
    <w:rsid w:val="1E5122F2"/>
    <w:rsid w:val="1E621D9B"/>
    <w:rsid w:val="1E945AB3"/>
    <w:rsid w:val="1EB37AE8"/>
    <w:rsid w:val="1EBB0876"/>
    <w:rsid w:val="1EC43D73"/>
    <w:rsid w:val="1EFB5835"/>
    <w:rsid w:val="1FCD4EA9"/>
    <w:rsid w:val="2008260C"/>
    <w:rsid w:val="20234AC9"/>
    <w:rsid w:val="20452C91"/>
    <w:rsid w:val="205247F6"/>
    <w:rsid w:val="20662F04"/>
    <w:rsid w:val="20C21B5F"/>
    <w:rsid w:val="20D018DC"/>
    <w:rsid w:val="20D8491F"/>
    <w:rsid w:val="21627873"/>
    <w:rsid w:val="217D79B3"/>
    <w:rsid w:val="21871088"/>
    <w:rsid w:val="219B3B12"/>
    <w:rsid w:val="21F8300E"/>
    <w:rsid w:val="226E75AD"/>
    <w:rsid w:val="22A22428"/>
    <w:rsid w:val="22B365D8"/>
    <w:rsid w:val="22D4227E"/>
    <w:rsid w:val="22FA27EC"/>
    <w:rsid w:val="230477A4"/>
    <w:rsid w:val="234550B7"/>
    <w:rsid w:val="23565231"/>
    <w:rsid w:val="2384696C"/>
    <w:rsid w:val="23B968AE"/>
    <w:rsid w:val="23CE18C6"/>
    <w:rsid w:val="240772FF"/>
    <w:rsid w:val="24183DF0"/>
    <w:rsid w:val="247778DD"/>
    <w:rsid w:val="247A77A8"/>
    <w:rsid w:val="2492204D"/>
    <w:rsid w:val="24D6630F"/>
    <w:rsid w:val="24F84929"/>
    <w:rsid w:val="257B506C"/>
    <w:rsid w:val="25DE1005"/>
    <w:rsid w:val="25F31947"/>
    <w:rsid w:val="260A1E20"/>
    <w:rsid w:val="26816946"/>
    <w:rsid w:val="26B446CD"/>
    <w:rsid w:val="26DB7398"/>
    <w:rsid w:val="26EC20B9"/>
    <w:rsid w:val="27027B2E"/>
    <w:rsid w:val="2705728B"/>
    <w:rsid w:val="27417BF8"/>
    <w:rsid w:val="27693B45"/>
    <w:rsid w:val="27E26050"/>
    <w:rsid w:val="27FF5E1C"/>
    <w:rsid w:val="283A129B"/>
    <w:rsid w:val="28724840"/>
    <w:rsid w:val="288527C5"/>
    <w:rsid w:val="28FE4325"/>
    <w:rsid w:val="291A0A41"/>
    <w:rsid w:val="294F0255"/>
    <w:rsid w:val="29CE019B"/>
    <w:rsid w:val="29DF16A7"/>
    <w:rsid w:val="29F74F67"/>
    <w:rsid w:val="2A484907"/>
    <w:rsid w:val="2AD66AD9"/>
    <w:rsid w:val="2B6A7583"/>
    <w:rsid w:val="2B6D7540"/>
    <w:rsid w:val="2B755902"/>
    <w:rsid w:val="2B8A1FC0"/>
    <w:rsid w:val="2B9351F9"/>
    <w:rsid w:val="2B9B5E5B"/>
    <w:rsid w:val="2BA81833"/>
    <w:rsid w:val="2BAC3F70"/>
    <w:rsid w:val="2BE85E9D"/>
    <w:rsid w:val="2BF30AC7"/>
    <w:rsid w:val="2C506C46"/>
    <w:rsid w:val="2C56166B"/>
    <w:rsid w:val="2C772798"/>
    <w:rsid w:val="2CC5167C"/>
    <w:rsid w:val="2CE33635"/>
    <w:rsid w:val="2D12214D"/>
    <w:rsid w:val="2D391980"/>
    <w:rsid w:val="2DA01E4F"/>
    <w:rsid w:val="2DDD6BFF"/>
    <w:rsid w:val="2DE95528"/>
    <w:rsid w:val="2DF857E7"/>
    <w:rsid w:val="2ED263DE"/>
    <w:rsid w:val="2EDC147D"/>
    <w:rsid w:val="2EF862E1"/>
    <w:rsid w:val="2F312BD6"/>
    <w:rsid w:val="2F474D7E"/>
    <w:rsid w:val="2F4F315F"/>
    <w:rsid w:val="2F5260FE"/>
    <w:rsid w:val="2FD1009E"/>
    <w:rsid w:val="2FE70BCE"/>
    <w:rsid w:val="30780EC9"/>
    <w:rsid w:val="309D08C8"/>
    <w:rsid w:val="313E5C07"/>
    <w:rsid w:val="31C46552"/>
    <w:rsid w:val="31EC7268"/>
    <w:rsid w:val="321E3342"/>
    <w:rsid w:val="325E4F99"/>
    <w:rsid w:val="32691E0F"/>
    <w:rsid w:val="33646120"/>
    <w:rsid w:val="33722AF4"/>
    <w:rsid w:val="339F5B7F"/>
    <w:rsid w:val="33B271F9"/>
    <w:rsid w:val="34422D25"/>
    <w:rsid w:val="345A4B8C"/>
    <w:rsid w:val="348C692F"/>
    <w:rsid w:val="34A77A31"/>
    <w:rsid w:val="34AA38CE"/>
    <w:rsid w:val="34F20284"/>
    <w:rsid w:val="34FA62E8"/>
    <w:rsid w:val="3537564D"/>
    <w:rsid w:val="353D24D9"/>
    <w:rsid w:val="354F6355"/>
    <w:rsid w:val="3570347C"/>
    <w:rsid w:val="35C83CF1"/>
    <w:rsid w:val="35FC37F1"/>
    <w:rsid w:val="3619346A"/>
    <w:rsid w:val="3636309C"/>
    <w:rsid w:val="36835A56"/>
    <w:rsid w:val="368816D2"/>
    <w:rsid w:val="369A149D"/>
    <w:rsid w:val="37AC319E"/>
    <w:rsid w:val="37D90437"/>
    <w:rsid w:val="37DD34EA"/>
    <w:rsid w:val="382471D8"/>
    <w:rsid w:val="3859649B"/>
    <w:rsid w:val="386D2696"/>
    <w:rsid w:val="39007C46"/>
    <w:rsid w:val="39103ACE"/>
    <w:rsid w:val="39227B1B"/>
    <w:rsid w:val="39406911"/>
    <w:rsid w:val="39850296"/>
    <w:rsid w:val="398B5761"/>
    <w:rsid w:val="39A14F85"/>
    <w:rsid w:val="39C26750"/>
    <w:rsid w:val="3A7F1D43"/>
    <w:rsid w:val="3A8D223E"/>
    <w:rsid w:val="3B291386"/>
    <w:rsid w:val="3B2A0FAA"/>
    <w:rsid w:val="3B4665B0"/>
    <w:rsid w:val="3B563038"/>
    <w:rsid w:val="3B7A783B"/>
    <w:rsid w:val="3B80307E"/>
    <w:rsid w:val="3B815E78"/>
    <w:rsid w:val="3BCA7BD7"/>
    <w:rsid w:val="3C3420E0"/>
    <w:rsid w:val="3C6C37E2"/>
    <w:rsid w:val="3C7D1C3F"/>
    <w:rsid w:val="3CFD6A0C"/>
    <w:rsid w:val="3D133BAA"/>
    <w:rsid w:val="3E431765"/>
    <w:rsid w:val="3E56548B"/>
    <w:rsid w:val="3EE20AC8"/>
    <w:rsid w:val="3F03223E"/>
    <w:rsid w:val="3F3322AA"/>
    <w:rsid w:val="3FC574F3"/>
    <w:rsid w:val="3FD6606D"/>
    <w:rsid w:val="400943B7"/>
    <w:rsid w:val="40143523"/>
    <w:rsid w:val="40580367"/>
    <w:rsid w:val="406B2735"/>
    <w:rsid w:val="407F76A2"/>
    <w:rsid w:val="40896772"/>
    <w:rsid w:val="4171469C"/>
    <w:rsid w:val="42350BB0"/>
    <w:rsid w:val="4269636E"/>
    <w:rsid w:val="42C454C8"/>
    <w:rsid w:val="42ED123B"/>
    <w:rsid w:val="431A2687"/>
    <w:rsid w:val="43482ADF"/>
    <w:rsid w:val="43497E11"/>
    <w:rsid w:val="43690BFB"/>
    <w:rsid w:val="438C52D1"/>
    <w:rsid w:val="43A86F10"/>
    <w:rsid w:val="43AF1DC7"/>
    <w:rsid w:val="442360D8"/>
    <w:rsid w:val="4487121B"/>
    <w:rsid w:val="44DF1057"/>
    <w:rsid w:val="450B3104"/>
    <w:rsid w:val="45102FBE"/>
    <w:rsid w:val="45374F70"/>
    <w:rsid w:val="456450B8"/>
    <w:rsid w:val="45E922E2"/>
    <w:rsid w:val="46181B9F"/>
    <w:rsid w:val="467A0914"/>
    <w:rsid w:val="4698326B"/>
    <w:rsid w:val="46B73DB3"/>
    <w:rsid w:val="46B85A12"/>
    <w:rsid w:val="46C20ABF"/>
    <w:rsid w:val="471C5409"/>
    <w:rsid w:val="472F1E22"/>
    <w:rsid w:val="475E76EE"/>
    <w:rsid w:val="47645604"/>
    <w:rsid w:val="47AC0459"/>
    <w:rsid w:val="47B54AE2"/>
    <w:rsid w:val="484652C3"/>
    <w:rsid w:val="4867383D"/>
    <w:rsid w:val="489E735B"/>
    <w:rsid w:val="48AA0CAC"/>
    <w:rsid w:val="48D83DF3"/>
    <w:rsid w:val="48EF215B"/>
    <w:rsid w:val="49547ADE"/>
    <w:rsid w:val="49606F16"/>
    <w:rsid w:val="499358EA"/>
    <w:rsid w:val="4A282B58"/>
    <w:rsid w:val="4A433934"/>
    <w:rsid w:val="4AB935E6"/>
    <w:rsid w:val="4B1F601E"/>
    <w:rsid w:val="4B65339C"/>
    <w:rsid w:val="4B92297F"/>
    <w:rsid w:val="4BE2220E"/>
    <w:rsid w:val="4C343D62"/>
    <w:rsid w:val="4CCF375F"/>
    <w:rsid w:val="4D097364"/>
    <w:rsid w:val="4D7808AB"/>
    <w:rsid w:val="4D810C89"/>
    <w:rsid w:val="4DC87963"/>
    <w:rsid w:val="4DEB1983"/>
    <w:rsid w:val="4E2875CB"/>
    <w:rsid w:val="4E406B08"/>
    <w:rsid w:val="4E4B79C1"/>
    <w:rsid w:val="4EBD760D"/>
    <w:rsid w:val="4EED2017"/>
    <w:rsid w:val="4F0B2DEE"/>
    <w:rsid w:val="4F2E2211"/>
    <w:rsid w:val="4F4E78CD"/>
    <w:rsid w:val="4FA62E1E"/>
    <w:rsid w:val="4FE85961"/>
    <w:rsid w:val="4FF0236A"/>
    <w:rsid w:val="50341189"/>
    <w:rsid w:val="5052092F"/>
    <w:rsid w:val="50685457"/>
    <w:rsid w:val="50724B2D"/>
    <w:rsid w:val="507E3C64"/>
    <w:rsid w:val="50837233"/>
    <w:rsid w:val="50A32F39"/>
    <w:rsid w:val="50B3089F"/>
    <w:rsid w:val="51273B6A"/>
    <w:rsid w:val="514C5668"/>
    <w:rsid w:val="51513799"/>
    <w:rsid w:val="518C29B6"/>
    <w:rsid w:val="51BE2516"/>
    <w:rsid w:val="52170DB7"/>
    <w:rsid w:val="524B5F75"/>
    <w:rsid w:val="52AA23A8"/>
    <w:rsid w:val="52B7187A"/>
    <w:rsid w:val="532F27EE"/>
    <w:rsid w:val="533D7674"/>
    <w:rsid w:val="534C3D5B"/>
    <w:rsid w:val="53966EC0"/>
    <w:rsid w:val="53A5465B"/>
    <w:rsid w:val="53B6028C"/>
    <w:rsid w:val="53DB4D25"/>
    <w:rsid w:val="54392B16"/>
    <w:rsid w:val="54442E65"/>
    <w:rsid w:val="545B2AA1"/>
    <w:rsid w:val="549B5701"/>
    <w:rsid w:val="54A9277D"/>
    <w:rsid w:val="551A6E03"/>
    <w:rsid w:val="553F16B7"/>
    <w:rsid w:val="558856A9"/>
    <w:rsid w:val="55CA2A9E"/>
    <w:rsid w:val="55E50F1B"/>
    <w:rsid w:val="560E52F8"/>
    <w:rsid w:val="565F6886"/>
    <w:rsid w:val="567813BA"/>
    <w:rsid w:val="56BC237C"/>
    <w:rsid w:val="56C00077"/>
    <w:rsid w:val="56CD4B4D"/>
    <w:rsid w:val="56E65062"/>
    <w:rsid w:val="575867DA"/>
    <w:rsid w:val="57877110"/>
    <w:rsid w:val="578D049F"/>
    <w:rsid w:val="5798381B"/>
    <w:rsid w:val="585447AE"/>
    <w:rsid w:val="58D74960"/>
    <w:rsid w:val="58EC4DE1"/>
    <w:rsid w:val="59926240"/>
    <w:rsid w:val="59EC6E24"/>
    <w:rsid w:val="5A0B2520"/>
    <w:rsid w:val="5A186813"/>
    <w:rsid w:val="5A3B2376"/>
    <w:rsid w:val="5A40591F"/>
    <w:rsid w:val="5A533C21"/>
    <w:rsid w:val="5A6F0692"/>
    <w:rsid w:val="5A92474A"/>
    <w:rsid w:val="5ABF2E42"/>
    <w:rsid w:val="5B266C40"/>
    <w:rsid w:val="5B586398"/>
    <w:rsid w:val="5B916903"/>
    <w:rsid w:val="5BEF472E"/>
    <w:rsid w:val="5BFD0047"/>
    <w:rsid w:val="5C233BF6"/>
    <w:rsid w:val="5C531CB7"/>
    <w:rsid w:val="5C8E7193"/>
    <w:rsid w:val="5C932202"/>
    <w:rsid w:val="5CC87E6F"/>
    <w:rsid w:val="5CD918EA"/>
    <w:rsid w:val="5D247D3D"/>
    <w:rsid w:val="5DAE1AC9"/>
    <w:rsid w:val="5E153AF5"/>
    <w:rsid w:val="5E293727"/>
    <w:rsid w:val="5E5537D6"/>
    <w:rsid w:val="5E7A2525"/>
    <w:rsid w:val="5EBB1968"/>
    <w:rsid w:val="5EF52F05"/>
    <w:rsid w:val="5F0E1E7F"/>
    <w:rsid w:val="5F112305"/>
    <w:rsid w:val="5F1476E7"/>
    <w:rsid w:val="5F213803"/>
    <w:rsid w:val="5F2767B3"/>
    <w:rsid w:val="5FE31F70"/>
    <w:rsid w:val="60045498"/>
    <w:rsid w:val="608024B7"/>
    <w:rsid w:val="613227E3"/>
    <w:rsid w:val="614C1844"/>
    <w:rsid w:val="614F46D3"/>
    <w:rsid w:val="617A6C2D"/>
    <w:rsid w:val="61842912"/>
    <w:rsid w:val="618968F0"/>
    <w:rsid w:val="619E6355"/>
    <w:rsid w:val="61AD00BB"/>
    <w:rsid w:val="61BD64DA"/>
    <w:rsid w:val="61CD6067"/>
    <w:rsid w:val="620A1069"/>
    <w:rsid w:val="6215384D"/>
    <w:rsid w:val="62AC06BC"/>
    <w:rsid w:val="62BE1E54"/>
    <w:rsid w:val="633B4987"/>
    <w:rsid w:val="63525D55"/>
    <w:rsid w:val="63BA6ABF"/>
    <w:rsid w:val="641937E6"/>
    <w:rsid w:val="649E3CEB"/>
    <w:rsid w:val="64B7054F"/>
    <w:rsid w:val="64C20A08"/>
    <w:rsid w:val="64CE2822"/>
    <w:rsid w:val="64E24AB9"/>
    <w:rsid w:val="64F06443"/>
    <w:rsid w:val="652C579B"/>
    <w:rsid w:val="65737FB9"/>
    <w:rsid w:val="658E69CC"/>
    <w:rsid w:val="659F7D1B"/>
    <w:rsid w:val="65B307D6"/>
    <w:rsid w:val="65DF0E05"/>
    <w:rsid w:val="65DF5ECF"/>
    <w:rsid w:val="661F0E5C"/>
    <w:rsid w:val="662326FA"/>
    <w:rsid w:val="66996E60"/>
    <w:rsid w:val="66A662C4"/>
    <w:rsid w:val="66FB71D3"/>
    <w:rsid w:val="67222B8A"/>
    <w:rsid w:val="679D182D"/>
    <w:rsid w:val="67BB6396"/>
    <w:rsid w:val="68197E1D"/>
    <w:rsid w:val="685045A6"/>
    <w:rsid w:val="68707450"/>
    <w:rsid w:val="688621C1"/>
    <w:rsid w:val="68C15BDE"/>
    <w:rsid w:val="68EC6827"/>
    <w:rsid w:val="690130CE"/>
    <w:rsid w:val="699562A3"/>
    <w:rsid w:val="69E95327"/>
    <w:rsid w:val="6A975464"/>
    <w:rsid w:val="6AD23ACD"/>
    <w:rsid w:val="6B2F7D93"/>
    <w:rsid w:val="6B315A81"/>
    <w:rsid w:val="6C0905E4"/>
    <w:rsid w:val="6C3F4637"/>
    <w:rsid w:val="6C865790"/>
    <w:rsid w:val="6C9D07C7"/>
    <w:rsid w:val="6CB426A8"/>
    <w:rsid w:val="6D3835CD"/>
    <w:rsid w:val="6D8D0DA1"/>
    <w:rsid w:val="6D8F6D0C"/>
    <w:rsid w:val="6DDF18A8"/>
    <w:rsid w:val="6E2149D1"/>
    <w:rsid w:val="6E7742D5"/>
    <w:rsid w:val="6E8126B3"/>
    <w:rsid w:val="6E930639"/>
    <w:rsid w:val="6E947A29"/>
    <w:rsid w:val="6F266C57"/>
    <w:rsid w:val="6F5F0B52"/>
    <w:rsid w:val="6F6629A9"/>
    <w:rsid w:val="6F940B51"/>
    <w:rsid w:val="6F9C60F3"/>
    <w:rsid w:val="70003AAC"/>
    <w:rsid w:val="701E0D35"/>
    <w:rsid w:val="70BB79D3"/>
    <w:rsid w:val="70C735D1"/>
    <w:rsid w:val="717A54B6"/>
    <w:rsid w:val="72AF23A1"/>
    <w:rsid w:val="72BF52A3"/>
    <w:rsid w:val="72FB055A"/>
    <w:rsid w:val="73520170"/>
    <w:rsid w:val="73614861"/>
    <w:rsid w:val="73B32D5B"/>
    <w:rsid w:val="74130252"/>
    <w:rsid w:val="74EA0661"/>
    <w:rsid w:val="75127B2A"/>
    <w:rsid w:val="75272590"/>
    <w:rsid w:val="754C32EF"/>
    <w:rsid w:val="756B70AB"/>
    <w:rsid w:val="759D7389"/>
    <w:rsid w:val="7617390F"/>
    <w:rsid w:val="762D45E7"/>
    <w:rsid w:val="76346231"/>
    <w:rsid w:val="76432C97"/>
    <w:rsid w:val="76472E5B"/>
    <w:rsid w:val="76AC2297"/>
    <w:rsid w:val="76C9109B"/>
    <w:rsid w:val="773F1B2E"/>
    <w:rsid w:val="776141C0"/>
    <w:rsid w:val="77E71EE7"/>
    <w:rsid w:val="78403651"/>
    <w:rsid w:val="784051C1"/>
    <w:rsid w:val="784368BB"/>
    <w:rsid w:val="789E16E5"/>
    <w:rsid w:val="78DB40C6"/>
    <w:rsid w:val="7954401D"/>
    <w:rsid w:val="79547EF1"/>
    <w:rsid w:val="7984574E"/>
    <w:rsid w:val="79A24C96"/>
    <w:rsid w:val="79F52174"/>
    <w:rsid w:val="79F91C98"/>
    <w:rsid w:val="7AA634A2"/>
    <w:rsid w:val="7AE80A7B"/>
    <w:rsid w:val="7B566C76"/>
    <w:rsid w:val="7B5E14E4"/>
    <w:rsid w:val="7B741965"/>
    <w:rsid w:val="7BBF78B4"/>
    <w:rsid w:val="7BDC361F"/>
    <w:rsid w:val="7BFE30BC"/>
    <w:rsid w:val="7C4B60AF"/>
    <w:rsid w:val="7C4D0079"/>
    <w:rsid w:val="7C6B379A"/>
    <w:rsid w:val="7C801CD1"/>
    <w:rsid w:val="7CD24C07"/>
    <w:rsid w:val="7CDD0037"/>
    <w:rsid w:val="7D6C2012"/>
    <w:rsid w:val="7D782ED3"/>
    <w:rsid w:val="7D8E6DCC"/>
    <w:rsid w:val="7D8F4D87"/>
    <w:rsid w:val="7DBB66FE"/>
    <w:rsid w:val="7DBE27C1"/>
    <w:rsid w:val="7DCA5F0F"/>
    <w:rsid w:val="7DD27BA7"/>
    <w:rsid w:val="7E1F736F"/>
    <w:rsid w:val="7E366AB8"/>
    <w:rsid w:val="7E53316F"/>
    <w:rsid w:val="7EF60637"/>
    <w:rsid w:val="7F9B365A"/>
    <w:rsid w:val="7FA57776"/>
    <w:rsid w:val="7FBA5A25"/>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autoRedefine/>
    <w:semiHidden/>
    <w:qFormat/>
    <w:uiPriority w:val="0"/>
    <w:pPr>
      <w:shd w:val="clear" w:color="auto" w:fill="000080"/>
    </w:p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0"/>
    <w:rPr>
      <w:b/>
      <w:bCs/>
    </w:rPr>
  </w:style>
  <w:style w:type="character" w:styleId="10">
    <w:name w:val="Hyperlink"/>
    <w:basedOn w:val="8"/>
    <w:autoRedefine/>
    <w:qFormat/>
    <w:uiPriority w:val="0"/>
    <w:rPr>
      <w:color w:val="0000FF"/>
      <w:u w:val="single"/>
    </w:rPr>
  </w:style>
  <w:style w:type="paragraph" w:customStyle="1" w:styleId="11">
    <w:name w:val="Char"/>
    <w:basedOn w:val="1"/>
    <w:autoRedefine/>
    <w:qFormat/>
    <w:uiPriority w:val="0"/>
    <w:rPr>
      <w:rFonts w:ascii="宋体" w:hAnsi="宋体" w:cs="Courier New"/>
      <w:sz w:val="32"/>
      <w:szCs w:val="32"/>
    </w:rPr>
  </w:style>
  <w:style w:type="character" w:customStyle="1" w:styleId="12">
    <w:name w:val="页眉 Char"/>
    <w:link w:val="5"/>
    <w:autoRedefine/>
    <w:qFormat/>
    <w:uiPriority w:val="0"/>
    <w:rPr>
      <w:kern w:val="2"/>
      <w:sz w:val="18"/>
      <w:szCs w:val="18"/>
    </w:rPr>
  </w:style>
  <w:style w:type="character" w:customStyle="1" w:styleId="13">
    <w:name w:val="页脚 Char"/>
    <w:link w:val="4"/>
    <w:autoRedefine/>
    <w:qFormat/>
    <w:uiPriority w:val="0"/>
    <w:rPr>
      <w:kern w:val="2"/>
      <w:sz w:val="18"/>
      <w:szCs w:val="18"/>
    </w:rPr>
  </w:style>
  <w:style w:type="paragraph" w:customStyle="1" w:styleId="14">
    <w:name w:val="[Normal]"/>
    <w:autoRedefine/>
    <w:qFormat/>
    <w:uiPriority w:val="0"/>
    <w:rPr>
      <w:rFonts w:ascii="宋体" w:hAnsi="宋体" w:eastAsia="宋体" w:cs="Times New Roman"/>
      <w:sz w:val="24"/>
      <w:lang w:val="zh-CN" w:eastAsia="zh-CN" w:bidi="ar-SA"/>
    </w:rPr>
  </w:style>
  <w:style w:type="paragraph" w:customStyle="1" w:styleId="15">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xc</Company>
  <Pages>19</Pages>
  <Words>9584</Words>
  <Characters>17669</Characters>
  <Lines>147</Lines>
  <Paragraphs>54</Paragraphs>
  <TotalTime>12</TotalTime>
  <ScaleCrop>false</ScaleCrop>
  <LinksUpToDate>false</LinksUpToDate>
  <CharactersWithSpaces>27199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优米妈</cp:lastModifiedBy>
  <cp:lastPrinted>2024-04-01T01:57:00Z</cp:lastPrinted>
  <dcterms:modified xsi:type="dcterms:W3CDTF">2024-04-03T01:35:19Z</dcterms:modified>
  <dc:title>关于2019年部门预算的批复</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EDOID">
    <vt:r8>5838458</vt:r8>
  </property>
  <property fmtid="{D5CDD505-2E9C-101B-9397-08002B2CF9AE}" pid="4" name="ICV">
    <vt:lpwstr>07507E189819409894EF5BE5A3BC0A07_13</vt:lpwstr>
  </property>
</Properties>
</file>