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关于编制2021年度市级部门预算和学校部门预算的通知</w:t>
      </w:r>
    </w:p>
    <w:p>
      <w:pPr>
        <w:jc w:val="center"/>
        <w:rPr>
          <w:b/>
          <w:sz w:val="32"/>
          <w:szCs w:val="32"/>
        </w:rPr>
      </w:pPr>
    </w:p>
    <w:p>
      <w:pPr>
        <w:spacing w:line="360" w:lineRule="auto"/>
        <w:rPr>
          <w:sz w:val="24"/>
        </w:rPr>
      </w:pPr>
      <w:r>
        <w:rPr>
          <w:rFonts w:hint="eastAsia"/>
          <w:sz w:val="24"/>
        </w:rPr>
        <w:t>各二级学院（部）、处（室），直属单位：</w:t>
      </w:r>
    </w:p>
    <w:p>
      <w:pPr>
        <w:spacing w:line="360" w:lineRule="auto"/>
        <w:ind w:firstLine="480" w:firstLineChars="200"/>
        <w:rPr>
          <w:rFonts w:ascii="宋体" w:hAnsi="宋体"/>
          <w:sz w:val="24"/>
        </w:rPr>
      </w:pPr>
      <w:r>
        <w:rPr>
          <w:rFonts w:hint="eastAsia" w:ascii="宋体" w:hAnsi="宋体"/>
          <w:sz w:val="24"/>
        </w:rPr>
        <w:t>为做好学校20</w:t>
      </w:r>
      <w:r>
        <w:rPr>
          <w:rFonts w:ascii="宋体" w:hAnsi="宋体"/>
          <w:sz w:val="24"/>
        </w:rPr>
        <w:t>2</w:t>
      </w:r>
      <w:r>
        <w:rPr>
          <w:rFonts w:hint="eastAsia" w:ascii="宋体" w:hAnsi="宋体"/>
          <w:sz w:val="24"/>
        </w:rPr>
        <w:t>1年度市级部门预算和学校部门预算编制工作，现就编制20</w:t>
      </w:r>
      <w:r>
        <w:rPr>
          <w:rFonts w:ascii="宋体" w:hAnsi="宋体"/>
          <w:sz w:val="24"/>
        </w:rPr>
        <w:t>2</w:t>
      </w:r>
      <w:r>
        <w:rPr>
          <w:rFonts w:hint="eastAsia" w:ascii="宋体" w:hAnsi="宋体"/>
          <w:sz w:val="24"/>
        </w:rPr>
        <w:t>1年度预算有关事项通知如下：</w:t>
      </w:r>
    </w:p>
    <w:p>
      <w:pPr>
        <w:spacing w:line="360" w:lineRule="auto"/>
        <w:ind w:firstLine="482" w:firstLineChars="200"/>
        <w:outlineLvl w:val="0"/>
        <w:rPr>
          <w:b/>
          <w:sz w:val="24"/>
        </w:rPr>
      </w:pPr>
      <w:r>
        <w:rPr>
          <w:rFonts w:hint="eastAsia"/>
          <w:b/>
          <w:sz w:val="24"/>
        </w:rPr>
        <w:t>一、预算编制的总体要求</w:t>
      </w:r>
    </w:p>
    <w:p>
      <w:pPr>
        <w:spacing w:line="360" w:lineRule="auto"/>
        <w:ind w:firstLine="480" w:firstLineChars="200"/>
        <w:rPr>
          <w:rFonts w:ascii="宋体" w:hAnsi="宋体"/>
          <w:sz w:val="24"/>
        </w:rPr>
      </w:pPr>
      <w:r>
        <w:rPr>
          <w:rFonts w:hint="eastAsia" w:ascii="宋体" w:hAnsi="宋体"/>
          <w:sz w:val="24"/>
        </w:rPr>
        <w:t>1.按照“谁管理谁编制，谁编制谁执行”的原则按部门编制预算。</w:t>
      </w:r>
    </w:p>
    <w:p>
      <w:pPr>
        <w:spacing w:line="360" w:lineRule="auto"/>
        <w:ind w:firstLine="480" w:firstLineChars="200"/>
        <w:rPr>
          <w:rFonts w:ascii="宋体" w:hAnsi="宋体"/>
          <w:sz w:val="24"/>
        </w:rPr>
      </w:pPr>
      <w:r>
        <w:rPr>
          <w:rFonts w:hint="eastAsia" w:ascii="宋体" w:hAnsi="宋体"/>
          <w:sz w:val="24"/>
        </w:rPr>
        <w:t>2.部门预算要按照“适度从紧”的原则编制，经费支出做到统筹安排。</w:t>
      </w:r>
    </w:p>
    <w:p>
      <w:pPr>
        <w:spacing w:line="360" w:lineRule="auto"/>
        <w:ind w:firstLine="480" w:firstLineChars="200"/>
        <w:rPr>
          <w:rFonts w:ascii="宋体" w:hAnsi="宋体"/>
          <w:sz w:val="24"/>
        </w:rPr>
      </w:pPr>
      <w:r>
        <w:rPr>
          <w:rFonts w:hint="eastAsia" w:ascii="宋体" w:hAnsi="宋体"/>
          <w:sz w:val="24"/>
        </w:rPr>
        <w:t>3.各部门应按年度所有因素和事项的轻重缓急，精准测算每一项支出需求，科学编制市级部门预算和学校部门预算。</w:t>
      </w:r>
    </w:p>
    <w:p>
      <w:pPr>
        <w:spacing w:line="360" w:lineRule="auto"/>
        <w:ind w:firstLine="480" w:firstLineChars="200"/>
        <w:rPr>
          <w:rFonts w:ascii="宋体" w:hAnsi="宋体"/>
          <w:sz w:val="24"/>
        </w:rPr>
      </w:pPr>
      <w:r>
        <w:rPr>
          <w:rFonts w:hint="eastAsia" w:ascii="宋体" w:hAnsi="宋体"/>
          <w:sz w:val="24"/>
        </w:rPr>
        <w:t>4.部门经费支出必须做到有预算才能有支出，</w:t>
      </w:r>
      <w:r>
        <w:rPr>
          <w:rFonts w:hint="eastAsia" w:ascii="宋体" w:hAnsi="宋体"/>
          <w:b/>
          <w:color w:val="FF0000"/>
          <w:sz w:val="24"/>
        </w:rPr>
        <w:t>如涉及政府采购（集中采购目录项目或集中采购目录外但单项或者年度批量预算金额在政府采购限额标准之上的货物、工程、服务等项目）的，还须有采购预算才能执行</w:t>
      </w:r>
      <w:r>
        <w:rPr>
          <w:rFonts w:hint="eastAsia" w:ascii="宋体" w:hAnsi="宋体"/>
          <w:sz w:val="24"/>
        </w:rPr>
        <w:t>。</w:t>
      </w:r>
    </w:p>
    <w:p>
      <w:pPr>
        <w:spacing w:line="360" w:lineRule="auto"/>
        <w:ind w:firstLine="482" w:firstLineChars="200"/>
        <w:outlineLvl w:val="0"/>
        <w:rPr>
          <w:b/>
          <w:sz w:val="24"/>
        </w:rPr>
      </w:pPr>
      <w:r>
        <w:rPr>
          <w:rFonts w:hint="eastAsia"/>
          <w:b/>
          <w:sz w:val="24"/>
        </w:rPr>
        <w:t>二、预算的编制内容</w:t>
      </w:r>
    </w:p>
    <w:p>
      <w:pPr>
        <w:spacing w:before="156" w:beforeLines="50" w:after="156" w:afterLines="50" w:line="360" w:lineRule="auto"/>
        <w:ind w:firstLine="482" w:firstLineChars="200"/>
        <w:outlineLvl w:val="1"/>
        <w:rPr>
          <w:rFonts w:ascii="宋体" w:hAnsi="宋体"/>
          <w:b/>
          <w:sz w:val="24"/>
        </w:rPr>
      </w:pPr>
      <w:r>
        <w:rPr>
          <w:rFonts w:hint="eastAsia" w:ascii="宋体" w:hAnsi="宋体"/>
          <w:b/>
          <w:sz w:val="24"/>
        </w:rPr>
        <w:t>（一）收入预算</w:t>
      </w:r>
    </w:p>
    <w:p>
      <w:pPr>
        <w:spacing w:line="360" w:lineRule="auto"/>
        <w:ind w:firstLine="480" w:firstLineChars="200"/>
        <w:rPr>
          <w:rFonts w:ascii="宋体" w:hAnsi="宋体"/>
          <w:sz w:val="24"/>
        </w:rPr>
      </w:pPr>
      <w:r>
        <w:rPr>
          <w:rFonts w:hint="eastAsia" w:ascii="宋体" w:hAnsi="宋体"/>
          <w:sz w:val="24"/>
        </w:rPr>
        <w:t>请各部门将本部门归口管理的20</w:t>
      </w:r>
      <w:r>
        <w:rPr>
          <w:rFonts w:ascii="宋体" w:hAnsi="宋体"/>
          <w:sz w:val="24"/>
        </w:rPr>
        <w:t>2</w:t>
      </w:r>
      <w:r>
        <w:rPr>
          <w:rFonts w:hint="eastAsia" w:ascii="宋体" w:hAnsi="宋体"/>
          <w:sz w:val="24"/>
        </w:rPr>
        <w:t>1-20</w:t>
      </w:r>
      <w:r>
        <w:rPr>
          <w:rFonts w:ascii="宋体" w:hAnsi="宋体"/>
          <w:sz w:val="24"/>
        </w:rPr>
        <w:t>2</w:t>
      </w:r>
      <w:r>
        <w:rPr>
          <w:rFonts w:hint="eastAsia" w:ascii="宋体" w:hAnsi="宋体"/>
          <w:sz w:val="24"/>
        </w:rPr>
        <w:t>3年可能从上级获得的各类补助（如：教学业绩考核、专业建设、师资建设、基地建设、图书建设、后勤保障、科研经费、校企合作、学生奖助学金等）和各类培训、房产租赁等收入进行统计测算，并</w:t>
      </w:r>
      <w:r>
        <w:rPr>
          <w:rFonts w:hint="eastAsia"/>
          <w:b/>
          <w:color w:val="FF0000"/>
          <w:sz w:val="24"/>
        </w:rPr>
        <w:t>填写《衢州职业技术学院20</w:t>
      </w:r>
      <w:r>
        <w:rPr>
          <w:b/>
          <w:color w:val="FF0000"/>
          <w:sz w:val="24"/>
        </w:rPr>
        <w:t>2</w:t>
      </w:r>
      <w:r>
        <w:rPr>
          <w:rFonts w:hint="eastAsia"/>
          <w:b/>
          <w:color w:val="FF0000"/>
          <w:sz w:val="24"/>
        </w:rPr>
        <w:t>1-20</w:t>
      </w:r>
      <w:r>
        <w:rPr>
          <w:b/>
          <w:color w:val="FF0000"/>
          <w:sz w:val="24"/>
        </w:rPr>
        <w:t>2</w:t>
      </w:r>
      <w:r>
        <w:rPr>
          <w:rFonts w:hint="eastAsia"/>
          <w:b/>
          <w:color w:val="FF0000"/>
          <w:sz w:val="24"/>
        </w:rPr>
        <w:t>3收入预算表》（附件1）</w:t>
      </w:r>
      <w:r>
        <w:rPr>
          <w:rFonts w:hint="eastAsia" w:ascii="宋体" w:hAnsi="宋体"/>
          <w:sz w:val="24"/>
        </w:rPr>
        <w:t>。</w:t>
      </w:r>
    </w:p>
    <w:p>
      <w:pPr>
        <w:spacing w:before="156" w:beforeLines="50" w:after="156" w:afterLines="50" w:line="360" w:lineRule="auto"/>
        <w:ind w:firstLine="482" w:firstLineChars="200"/>
        <w:outlineLvl w:val="1"/>
        <w:rPr>
          <w:rFonts w:ascii="宋体" w:hAnsi="宋体"/>
          <w:b/>
          <w:sz w:val="24"/>
        </w:rPr>
      </w:pPr>
      <w:r>
        <w:rPr>
          <w:rFonts w:hint="eastAsia" w:ascii="宋体" w:hAnsi="宋体"/>
          <w:b/>
          <w:sz w:val="24"/>
        </w:rPr>
        <w:t>（二）学校部门经费支出预算</w:t>
      </w:r>
    </w:p>
    <w:p>
      <w:pPr>
        <w:spacing w:line="360" w:lineRule="auto"/>
        <w:ind w:firstLine="480" w:firstLineChars="200"/>
        <w:rPr>
          <w:rFonts w:ascii="宋体" w:hAnsi="宋体"/>
          <w:sz w:val="24"/>
        </w:rPr>
      </w:pPr>
      <w:r>
        <w:rPr>
          <w:rFonts w:hint="eastAsia"/>
          <w:sz w:val="24"/>
        </w:rPr>
        <w:t>请各部门根据部门20</w:t>
      </w:r>
      <w:r>
        <w:rPr>
          <w:sz w:val="24"/>
        </w:rPr>
        <w:t>2</w:t>
      </w:r>
      <w:r>
        <w:rPr>
          <w:rFonts w:hint="eastAsia"/>
          <w:sz w:val="24"/>
        </w:rPr>
        <w:t>1年业务拟开展情况，结合近几年预算数和执行情况，测算经费支出预算，并填写</w:t>
      </w:r>
      <w:r>
        <w:rPr>
          <w:rFonts w:hint="eastAsia"/>
          <w:b/>
          <w:color w:val="FF0000"/>
          <w:sz w:val="24"/>
        </w:rPr>
        <w:t>《20</w:t>
      </w:r>
      <w:r>
        <w:rPr>
          <w:b/>
          <w:color w:val="FF0000"/>
          <w:sz w:val="24"/>
        </w:rPr>
        <w:t>2</w:t>
      </w:r>
      <w:r>
        <w:rPr>
          <w:rFonts w:hint="eastAsia"/>
          <w:b/>
          <w:color w:val="FF0000"/>
          <w:sz w:val="24"/>
        </w:rPr>
        <w:t>1年度学校部门经费预算申报表》（附件2）。如经费支出中</w:t>
      </w:r>
      <w:r>
        <w:rPr>
          <w:rFonts w:hint="eastAsia" w:ascii="宋体" w:hAnsi="宋体"/>
          <w:b/>
          <w:color w:val="FF0000"/>
          <w:sz w:val="24"/>
        </w:rPr>
        <w:t>涉及政府采购和服务购买的，同时填写《</w:t>
      </w:r>
      <w:r>
        <w:rPr>
          <w:rFonts w:hint="eastAsia"/>
          <w:b/>
          <w:color w:val="FF0000"/>
          <w:sz w:val="24"/>
        </w:rPr>
        <w:t>政府采购（购买服务）预算表》（附件2）。</w:t>
      </w:r>
      <w:r>
        <w:rPr>
          <w:rFonts w:hint="eastAsia" w:ascii="宋体" w:hAnsi="宋体"/>
          <w:sz w:val="24"/>
        </w:rPr>
        <w:t>政府购买服务目录请参照《浙江省政府向社会力量购买服务指导性目录（2019年度）》（附件4）。</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after="156" w:afterLines="50" w:line="360" w:lineRule="auto"/>
        <w:jc w:val="center"/>
        <w:rPr>
          <w:rFonts w:ascii="黑体" w:hAnsi="黑体" w:eastAsia="黑体" w:cs="宋体"/>
          <w:b/>
          <w:bCs/>
          <w:color w:val="000000"/>
          <w:kern w:val="0"/>
          <w:sz w:val="24"/>
        </w:rPr>
      </w:pPr>
      <w:r>
        <w:rPr>
          <w:rFonts w:hint="eastAsia" w:ascii="黑体" w:hAnsi="黑体" w:eastAsia="黑体" w:cs="宋体"/>
          <w:b/>
          <w:bCs/>
          <w:color w:val="000000"/>
          <w:kern w:val="0"/>
          <w:sz w:val="24"/>
        </w:rPr>
        <w:t>表1：衢州职业技术学院20</w:t>
      </w:r>
      <w:r>
        <w:rPr>
          <w:rFonts w:ascii="黑体" w:hAnsi="黑体" w:eastAsia="黑体" w:cs="宋体"/>
          <w:b/>
          <w:bCs/>
          <w:color w:val="000000"/>
          <w:kern w:val="0"/>
          <w:sz w:val="24"/>
        </w:rPr>
        <w:t>2</w:t>
      </w:r>
      <w:r>
        <w:rPr>
          <w:rFonts w:hint="eastAsia" w:ascii="黑体" w:hAnsi="黑体" w:eastAsia="黑体" w:cs="宋体"/>
          <w:b/>
          <w:bCs/>
          <w:color w:val="000000"/>
          <w:kern w:val="0"/>
          <w:sz w:val="24"/>
        </w:rPr>
        <w:t>1年度部门经费归类明细表</w:t>
      </w:r>
    </w:p>
    <w:tbl>
      <w:tblPr>
        <w:tblStyle w:val="6"/>
        <w:tblW w:w="7512" w:type="dxa"/>
        <w:jc w:val="center"/>
        <w:tblLayout w:type="autofit"/>
        <w:tblCellMar>
          <w:top w:w="0" w:type="dxa"/>
          <w:left w:w="108" w:type="dxa"/>
          <w:bottom w:w="0" w:type="dxa"/>
          <w:right w:w="108" w:type="dxa"/>
        </w:tblCellMar>
      </w:tblPr>
      <w:tblGrid>
        <w:gridCol w:w="2226"/>
        <w:gridCol w:w="2860"/>
        <w:gridCol w:w="2426"/>
      </w:tblGrid>
      <w:tr>
        <w:tblPrEx>
          <w:tblCellMar>
            <w:top w:w="0" w:type="dxa"/>
            <w:left w:w="108" w:type="dxa"/>
            <w:bottom w:w="0" w:type="dxa"/>
            <w:right w:w="108" w:type="dxa"/>
          </w:tblCellMar>
        </w:tblPrEx>
        <w:trPr>
          <w:trHeight w:val="240" w:hRule="atLeast"/>
          <w:jc w:val="center"/>
        </w:trPr>
        <w:tc>
          <w:tcPr>
            <w:tcW w:w="2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新宋体" w:hAnsi="新宋体" w:eastAsia="新宋体" w:cs="宋体"/>
                <w:b/>
                <w:bCs/>
                <w:kern w:val="0"/>
                <w:szCs w:val="21"/>
              </w:rPr>
            </w:pPr>
            <w:r>
              <w:rPr>
                <w:rFonts w:hint="eastAsia" w:ascii="新宋体" w:hAnsi="新宋体" w:eastAsia="新宋体" w:cs="宋体"/>
                <w:b/>
                <w:bCs/>
                <w:kern w:val="0"/>
                <w:szCs w:val="21"/>
              </w:rPr>
              <w:t>部门名称</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新宋体" w:hAnsi="新宋体" w:eastAsia="新宋体" w:cs="宋体"/>
                <w:b/>
                <w:bCs/>
                <w:kern w:val="0"/>
                <w:szCs w:val="21"/>
              </w:rPr>
            </w:pPr>
            <w:r>
              <w:rPr>
                <w:rFonts w:hint="eastAsia" w:ascii="新宋体" w:hAnsi="新宋体" w:eastAsia="新宋体" w:cs="宋体"/>
                <w:b/>
                <w:bCs/>
                <w:kern w:val="0"/>
                <w:szCs w:val="21"/>
              </w:rPr>
              <w:t>学校经费名称</w:t>
            </w:r>
          </w:p>
        </w:tc>
        <w:tc>
          <w:tcPr>
            <w:tcW w:w="242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新宋体" w:hAnsi="新宋体" w:eastAsia="新宋体" w:cs="宋体"/>
                <w:b/>
                <w:bCs/>
                <w:kern w:val="0"/>
                <w:szCs w:val="21"/>
              </w:rPr>
            </w:pPr>
            <w:r>
              <w:rPr>
                <w:rFonts w:hint="eastAsia" w:ascii="新宋体" w:hAnsi="新宋体" w:eastAsia="新宋体" w:cs="宋体"/>
                <w:b/>
                <w:bCs/>
                <w:kern w:val="0"/>
                <w:szCs w:val="21"/>
              </w:rPr>
              <w:t>财政项目名称</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院部</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院部工作经费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公务出国经费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汽车运行费用</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包干车辆</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办公室</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招待费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rPr>
                <w:highlight w:val="yellow"/>
              </w:rPr>
            </w:pPr>
            <w:r>
              <w:rPr>
                <w:rFonts w:hint="eastAsia"/>
                <w:color w:val="FF0000"/>
                <w:highlight w:val="none"/>
              </w:rPr>
              <w:t>公务租车费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highlight w:val="yellow"/>
              </w:rPr>
            </w:pPr>
            <w:r>
              <w:rPr>
                <w:rFonts w:hint="eastAsia" w:ascii="宋体" w:hAnsi="宋体" w:cs="宋体"/>
                <w:color w:val="FF0000"/>
                <w:kern w:val="0"/>
                <w:szCs w:val="21"/>
                <w:highlight w:val="none"/>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外事经费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档案经费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律师咨询费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组织部（人事处）</w:t>
            </w: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在职人员经费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在职人员支出</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教职工体检费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在职人员支出</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ascii="宋体" w:hAnsi="宋体" w:cs="宋体"/>
                <w:kern w:val="0"/>
                <w:szCs w:val="21"/>
              </w:rPr>
              <w:t>编外聘用人员支出</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编外聘用人员支出</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住房公积金</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住房公积金</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退休人员经费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退休人员支出</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遗属等人员补助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其他人员支出</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职称评审费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干部经费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探亲费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人才引进费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宣传部（统战部）</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理论思政教育费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统战经费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院报经费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校园文化建设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学生报刊经费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校园文化建设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宣传经费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校园文化建设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校园文化建设费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校园文化建设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艺术团建设费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校园文化建设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highlight w:val="none"/>
              </w:rPr>
              <w:t>纪检监察室（审计处）</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85"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审计费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纪检经费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工会</w:t>
            </w: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教职工子女费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双代会经费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上交工会经费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女教职工妇检</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市互助医疗经费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教职工子女医疗费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教职工子女保育费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竞赛费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退休人员互助金</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tcPr>
          <w:p>
            <w:pPr>
              <w:spacing w:line="360" w:lineRule="auto"/>
            </w:pPr>
            <w:r>
              <w:rPr>
                <w:rFonts w:hint="eastAsia"/>
              </w:rPr>
              <w:t>教职工疗养费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基金</w:t>
            </w:r>
          </w:p>
        </w:tc>
      </w:tr>
      <w:tr>
        <w:tblPrEx>
          <w:tblCellMar>
            <w:top w:w="0" w:type="dxa"/>
            <w:left w:w="108" w:type="dxa"/>
            <w:bottom w:w="0" w:type="dxa"/>
            <w:right w:w="108" w:type="dxa"/>
          </w:tblCellMar>
        </w:tblPrEx>
        <w:trPr>
          <w:trHeight w:val="27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90" w:hRule="atLeast"/>
          <w:jc w:val="center"/>
        </w:trPr>
        <w:tc>
          <w:tcPr>
            <w:tcW w:w="22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团委</w:t>
            </w:r>
          </w:p>
        </w:tc>
        <w:tc>
          <w:tcPr>
            <w:tcW w:w="2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学生活动实践费</w:t>
            </w:r>
          </w:p>
        </w:tc>
        <w:tc>
          <w:tcPr>
            <w:tcW w:w="242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共青团工作建设费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大学生创新创业经费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合作发展处</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校友经费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校企合作经费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学工部（学生处）</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招生经费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学生工作经费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心理健康教育经费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公寓管理建设经费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奖、助学金</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助学金计提</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nil"/>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教务处</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教学改革项目经费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教学研究与教学质量管理费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教学业务指导</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rPr>
                <w:color w:val="FF0000"/>
              </w:rPr>
            </w:pPr>
            <w:r>
              <w:rPr>
                <w:rFonts w:hint="eastAsia"/>
                <w:color w:val="FF0000"/>
              </w:rPr>
              <w:t>教学奖励</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FF0000"/>
                <w:kern w:val="0"/>
                <w:szCs w:val="21"/>
              </w:rPr>
            </w:pPr>
            <w:r>
              <w:rPr>
                <w:rFonts w:hint="eastAsia" w:ascii="宋体" w:hAnsi="宋体" w:cs="宋体"/>
                <w:color w:val="FF0000"/>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职业技能竞赛项目建设</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职业技能竞赛创新团队建设</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外聘教师课金</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中职技能高考及竞赛项目材料费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rPr>
                <w:color w:val="FF0000"/>
              </w:rPr>
            </w:pPr>
            <w:r>
              <w:rPr>
                <w:rFonts w:hint="eastAsia"/>
                <w:color w:val="FF0000"/>
              </w:rPr>
              <w:t>教师发展中心经费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FF0000"/>
                <w:kern w:val="0"/>
                <w:szCs w:val="21"/>
              </w:rPr>
            </w:pPr>
            <w:r>
              <w:rPr>
                <w:rFonts w:hint="eastAsia" w:ascii="宋体" w:hAnsi="宋体" w:cs="宋体"/>
                <w:color w:val="FF0000"/>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tcBorders>
              <w:top w:val="nil"/>
              <w:left w:val="single" w:color="auto" w:sz="4" w:space="0"/>
              <w:bottom w:val="nil"/>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科研项目处   </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 xml:space="preserve">科研项目费  </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科研事业经费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科研配套费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科研事业经费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学术活动费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科研事业经费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出版资助经费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科研事业经费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rPr>
                <w:color w:val="FF0000"/>
              </w:rPr>
            </w:pPr>
            <w:r>
              <w:rPr>
                <w:rFonts w:hint="eastAsia"/>
                <w:color w:val="FF0000"/>
              </w:rPr>
              <w:t>科研奖励经费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FF0000"/>
                <w:kern w:val="0"/>
                <w:szCs w:val="21"/>
              </w:rPr>
            </w:pPr>
            <w:r>
              <w:rPr>
                <w:rFonts w:hint="eastAsia" w:ascii="宋体" w:hAnsi="宋体" w:cs="宋体"/>
                <w:color w:val="FF0000"/>
                <w:kern w:val="0"/>
                <w:szCs w:val="21"/>
              </w:rPr>
              <w:t>科研事业经费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 xml:space="preserve">计财处    </w:t>
            </w: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财务管理费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资产管理费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医疗费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在职人员支出</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各类保费</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税金</w:t>
            </w:r>
          </w:p>
        </w:tc>
        <w:tc>
          <w:tcPr>
            <w:tcW w:w="2426" w:type="dxa"/>
            <w:tcBorders>
              <w:top w:val="nil"/>
              <w:left w:val="nil"/>
              <w:bottom w:val="single" w:color="auto" w:sz="4" w:space="0"/>
              <w:right w:val="single" w:color="auto" w:sz="4" w:space="0"/>
            </w:tcBorders>
            <w:shd w:val="clear" w:color="auto" w:fill="auto"/>
            <w:noWrap/>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后勤保卫处</w:t>
            </w: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公务费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55"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水费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55"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电费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邮电费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物业管理费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维修费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治安、维稳、安全教育经费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消防监控系统维护经费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办公家具、食堂设备购置</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食堂、医务室管理费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noWrap/>
            <w:vAlign w:val="center"/>
          </w:tcPr>
          <w:p>
            <w:pPr>
              <w:spacing w:line="360" w:lineRule="auto"/>
            </w:pPr>
            <w:r>
              <w:rPr>
                <w:rFonts w:hint="eastAsia"/>
              </w:rPr>
              <w:t>人武普法经费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noWrap/>
            <w:vAlign w:val="center"/>
          </w:tcPr>
          <w:p>
            <w:pPr>
              <w:spacing w:line="360" w:lineRule="auto"/>
            </w:pPr>
            <w:r>
              <w:rPr>
                <w:rFonts w:hint="eastAsia"/>
              </w:rPr>
              <w:t>全校通讯费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职工食堂补助</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基金</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改造项目经费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疫情防控专项经费</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后勤服务1-2#楼政府投资</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基本建设经费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室内风雨操场政府投资</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基本建设经费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文旅教学楼项目政府投资</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基本建设经费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spacing w:line="360" w:lineRule="auto"/>
            </w:pPr>
            <w:r>
              <w:rPr>
                <w:rFonts w:hint="eastAsia"/>
              </w:rPr>
              <w:t>学生公寓维修基金计提</w:t>
            </w:r>
          </w:p>
        </w:tc>
        <w:tc>
          <w:tcPr>
            <w:tcW w:w="2426" w:type="dxa"/>
            <w:tcBorders>
              <w:top w:val="nil"/>
              <w:left w:val="nil"/>
              <w:bottom w:val="single" w:color="auto" w:sz="4" w:space="0"/>
              <w:right w:val="single" w:color="auto" w:sz="4" w:space="0"/>
            </w:tcBorders>
            <w:shd w:val="clear" w:color="auto" w:fill="auto"/>
            <w:noWrap/>
            <w:vAlign w:val="center"/>
          </w:tcPr>
          <w:p>
            <w:pPr>
              <w:spacing w:line="360" w:lineRule="auto"/>
              <w:jc w:val="center"/>
            </w:pPr>
            <w:r>
              <w:rPr>
                <w:rFonts w:hint="eastAsia"/>
              </w:rPr>
              <w:t>后勤保障经费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规划与督导处</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教学督导经费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职教研究所经费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图书馆</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图书加工费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图书资料建设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读书教育费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85"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环境布置费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图书资料建设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图书资料建设</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图书资料建设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创业学院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创新创业教育工作经费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创业导师团队建设经费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设备与实训管理中心（信息中心）</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采购业务经费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FF0000"/>
                <w:kern w:val="0"/>
                <w:szCs w:val="21"/>
              </w:rPr>
            </w:pPr>
            <w:r>
              <w:rPr>
                <w:rFonts w:hint="eastAsia" w:ascii="宋体" w:hAnsi="宋体" w:cs="宋体"/>
                <w:color w:val="FF0000"/>
                <w:kern w:val="0"/>
                <w:szCs w:val="21"/>
              </w:rPr>
              <w:t>业务租车费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FF0000"/>
                <w:kern w:val="0"/>
                <w:szCs w:val="21"/>
              </w:rPr>
            </w:pPr>
            <w:r>
              <w:rPr>
                <w:rFonts w:hint="eastAsia" w:ascii="宋体" w:hAnsi="宋体" w:cs="宋体"/>
                <w:color w:val="FF0000"/>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实训基地建设管理费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实训基地建设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教学办公设备维护费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实验实训室维持费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实训基地建设经费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实训基地建设</w:t>
            </w:r>
          </w:p>
        </w:tc>
      </w:tr>
      <w:tr>
        <w:tblPrEx>
          <w:tblCellMar>
            <w:top w:w="0" w:type="dxa"/>
            <w:left w:w="108" w:type="dxa"/>
            <w:bottom w:w="0" w:type="dxa"/>
            <w:right w:w="108" w:type="dxa"/>
          </w:tblCellMar>
        </w:tblPrEx>
        <w:trPr>
          <w:trHeight w:val="240" w:hRule="atLeast"/>
          <w:jc w:val="center"/>
        </w:trPr>
        <w:tc>
          <w:tcPr>
            <w:tcW w:w="222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业务培训费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公共基础部</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马克思主义学院（社会科学部）</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思政-专业（课程）建设费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思政-教师培养费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社科联活动经费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公共体育部</w:t>
            </w:r>
          </w:p>
          <w:p>
            <w:pPr>
              <w:widowControl/>
              <w:spacing w:line="360" w:lineRule="auto"/>
              <w:jc w:val="center"/>
              <w:rPr>
                <w:rFonts w:ascii="宋体" w:hAnsi="宋体" w:cs="宋体"/>
                <w:kern w:val="0"/>
                <w:szCs w:val="21"/>
              </w:rPr>
            </w:pPr>
            <w:r>
              <w:rPr>
                <w:rFonts w:hint="eastAsia" w:ascii="宋体" w:hAnsi="宋体" w:cs="宋体"/>
                <w:kern w:val="0"/>
                <w:szCs w:val="21"/>
              </w:rPr>
              <w:t>（文旅学院）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85"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nil"/>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体育维持费</w:t>
            </w:r>
          </w:p>
        </w:tc>
        <w:tc>
          <w:tcPr>
            <w:tcW w:w="24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nil"/>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体育比赛经费 </w:t>
            </w:r>
          </w:p>
        </w:tc>
        <w:tc>
          <w:tcPr>
            <w:tcW w:w="24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85"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nil"/>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军训费 </w:t>
            </w:r>
          </w:p>
        </w:tc>
        <w:tc>
          <w:tcPr>
            <w:tcW w:w="2426"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医学院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艺术设计学院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展览经费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经济管理学院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信息工程学院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机电工程学院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tcPr>
          <w:p>
            <w:pPr>
              <w:spacing w:line="360" w:lineRule="auto"/>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专业（课程）建设费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教学改革建设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资料费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学生活动费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学生工作经费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创业、就业经费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bookmarkStart w:id="0" w:name="_GoBack"/>
            <w:bookmarkEnd w:id="0"/>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实习费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实训（实验）材料费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基层党建经费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日常公用</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文化品牌建设补助</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校园文化建设</w:t>
            </w:r>
          </w:p>
        </w:tc>
      </w:tr>
      <w:tr>
        <w:tblPrEx>
          <w:tblCellMar>
            <w:top w:w="0" w:type="dxa"/>
            <w:left w:w="108" w:type="dxa"/>
            <w:bottom w:w="0" w:type="dxa"/>
            <w:right w:w="108" w:type="dxa"/>
          </w:tblCellMar>
        </w:tblPrEx>
        <w:trPr>
          <w:trHeight w:val="240" w:hRule="atLeast"/>
          <w:jc w:val="center"/>
        </w:trPr>
        <w:tc>
          <w:tcPr>
            <w:tcW w:w="22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继续教育学院</w:t>
            </w: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公务费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rPr>
              <w:t>零星劳务费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教师培养费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师资建设</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教学管理费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招生经费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学生管理费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农民学院经费</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r>
        <w:tblPrEx>
          <w:tblCellMar>
            <w:top w:w="0" w:type="dxa"/>
            <w:left w:w="108" w:type="dxa"/>
            <w:bottom w:w="0" w:type="dxa"/>
            <w:right w:w="108" w:type="dxa"/>
          </w:tblCellMar>
        </w:tblPrEx>
        <w:trPr>
          <w:trHeight w:val="240" w:hRule="atLeast"/>
          <w:jc w:val="center"/>
        </w:trPr>
        <w:tc>
          <w:tcPr>
            <w:tcW w:w="222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Cs w:val="21"/>
              </w:rPr>
            </w:pPr>
            <w:r>
              <w:rPr>
                <w:rFonts w:hint="eastAsia" w:ascii="宋体" w:hAnsi="宋体" w:cs="宋体"/>
                <w:kern w:val="0"/>
                <w:szCs w:val="21"/>
              </w:rPr>
              <w:t>分成款</w:t>
            </w:r>
          </w:p>
        </w:tc>
        <w:tc>
          <w:tcPr>
            <w:tcW w:w="242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教学业务经费</w:t>
            </w:r>
          </w:p>
        </w:tc>
      </w:tr>
    </w:tbl>
    <w:p>
      <w:pPr>
        <w:spacing w:after="156" w:afterLines="50" w:line="360" w:lineRule="auto"/>
        <w:ind w:firstLine="482" w:firstLineChars="200"/>
        <w:outlineLvl w:val="2"/>
        <w:rPr>
          <w:rFonts w:ascii="宋体" w:hAnsi="宋体"/>
          <w:b/>
          <w:sz w:val="24"/>
        </w:rPr>
      </w:pPr>
      <w:r>
        <w:rPr>
          <w:rFonts w:hint="eastAsia" w:ascii="宋体" w:hAnsi="宋体"/>
          <w:b/>
          <w:sz w:val="24"/>
        </w:rPr>
        <w:t>1.公务费</w:t>
      </w:r>
    </w:p>
    <w:p>
      <w:pPr>
        <w:spacing w:line="360" w:lineRule="auto"/>
        <w:ind w:firstLine="480" w:firstLineChars="200"/>
        <w:rPr>
          <w:rFonts w:ascii="宋体" w:hAnsi="宋体"/>
          <w:sz w:val="24"/>
        </w:rPr>
      </w:pPr>
      <w:r>
        <w:rPr>
          <w:rFonts w:hint="eastAsia" w:ascii="宋体" w:hAnsi="宋体"/>
          <w:sz w:val="24"/>
        </w:rPr>
        <w:t>公务费主要用于办公费（办公用品、文化用品、报刊杂志订阅费、图书资料费、团队会费、复印、名片、刻章、冲印、饮用水、单价在300元以下的一般办公设备维修材料费用）、邮寄费、因公务产生的差旅费、</w:t>
      </w:r>
      <w:r>
        <w:rPr>
          <w:rFonts w:ascii="宋体" w:hAnsi="宋体"/>
          <w:sz w:val="24"/>
        </w:rPr>
        <w:t>公务交通费</w:t>
      </w:r>
      <w:r>
        <w:rPr>
          <w:rFonts w:hint="eastAsia" w:ascii="宋体" w:hAnsi="宋体"/>
          <w:sz w:val="24"/>
        </w:rPr>
        <w:t>等。</w:t>
      </w:r>
    </w:p>
    <w:p>
      <w:pPr>
        <w:spacing w:line="360" w:lineRule="auto"/>
        <w:ind w:firstLine="482" w:firstLineChars="200"/>
        <w:rPr>
          <w:b/>
          <w:color w:val="FF0000"/>
          <w:sz w:val="24"/>
        </w:rPr>
      </w:pPr>
      <w:r>
        <w:rPr>
          <w:rFonts w:hint="eastAsia"/>
          <w:b/>
          <w:color w:val="FF0000"/>
          <w:sz w:val="24"/>
        </w:rPr>
        <w:t>非教学部门公务费暂时按机关编制人员不高于</w:t>
      </w:r>
      <w:r>
        <w:rPr>
          <w:b/>
          <w:color w:val="FF0000"/>
          <w:sz w:val="24"/>
        </w:rPr>
        <w:t>25</w:t>
      </w:r>
      <w:r>
        <w:rPr>
          <w:rFonts w:hint="eastAsia"/>
          <w:b/>
          <w:color w:val="FF0000"/>
          <w:sz w:val="24"/>
        </w:rPr>
        <w:t>00元/人标准、其他人员不高于</w:t>
      </w:r>
      <w:r>
        <w:rPr>
          <w:b/>
          <w:color w:val="FF0000"/>
          <w:sz w:val="24"/>
        </w:rPr>
        <w:t>9</w:t>
      </w:r>
      <w:r>
        <w:rPr>
          <w:rFonts w:hint="eastAsia"/>
          <w:b/>
          <w:color w:val="FF0000"/>
          <w:sz w:val="24"/>
        </w:rPr>
        <w:t>00元/人标准申报；公共教学部门的公务费按机关编制人员不高于</w:t>
      </w:r>
      <w:r>
        <w:rPr>
          <w:b/>
          <w:color w:val="FF0000"/>
          <w:sz w:val="24"/>
        </w:rPr>
        <w:t>25</w:t>
      </w:r>
      <w:r>
        <w:rPr>
          <w:rFonts w:hint="eastAsia"/>
          <w:b/>
          <w:color w:val="FF0000"/>
          <w:sz w:val="24"/>
        </w:rPr>
        <w:t>00元/人标准、其他人员不高于</w:t>
      </w:r>
      <w:r>
        <w:rPr>
          <w:b/>
          <w:color w:val="FF0000"/>
          <w:sz w:val="24"/>
        </w:rPr>
        <w:t>4</w:t>
      </w:r>
      <w:r>
        <w:rPr>
          <w:rFonts w:hint="eastAsia"/>
          <w:b/>
          <w:color w:val="FF0000"/>
          <w:sz w:val="24"/>
        </w:rPr>
        <w:t>00元/人标准申报。二级学院公务费由各二级学院在日常业务经费总额内自行安排。</w:t>
      </w:r>
    </w:p>
    <w:p>
      <w:pPr>
        <w:spacing w:after="156" w:afterLines="50" w:line="360" w:lineRule="auto"/>
        <w:ind w:firstLine="482" w:firstLineChars="200"/>
        <w:outlineLvl w:val="2"/>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业务培训费</w:t>
      </w:r>
    </w:p>
    <w:p>
      <w:pPr>
        <w:spacing w:line="360" w:lineRule="auto"/>
        <w:ind w:firstLine="482" w:firstLineChars="200"/>
        <w:rPr>
          <w:b/>
          <w:color w:val="FF0000"/>
          <w:sz w:val="24"/>
        </w:rPr>
      </w:pPr>
      <w:r>
        <w:rPr>
          <w:rFonts w:hint="eastAsia"/>
          <w:b/>
          <w:color w:val="FF0000"/>
          <w:sz w:val="24"/>
        </w:rPr>
        <w:t>为优化教学业绩考核中的师资建设经费数据，</w:t>
      </w:r>
      <w:r>
        <w:rPr>
          <w:rFonts w:hint="eastAsia"/>
          <w:b/>
          <w:color w:val="0000FF"/>
          <w:sz w:val="24"/>
        </w:rPr>
        <w:t>自2</w:t>
      </w:r>
      <w:r>
        <w:rPr>
          <w:b/>
          <w:color w:val="0000FF"/>
          <w:sz w:val="24"/>
        </w:rPr>
        <w:t>020</w:t>
      </w:r>
      <w:r>
        <w:rPr>
          <w:rFonts w:hint="eastAsia"/>
          <w:b/>
          <w:color w:val="0000FF"/>
          <w:sz w:val="24"/>
        </w:rPr>
        <w:t>年起各职能部门增设</w:t>
      </w:r>
      <w:r>
        <w:rPr>
          <w:rFonts w:hint="eastAsia"/>
          <w:b/>
          <w:color w:val="FF0000"/>
          <w:sz w:val="24"/>
        </w:rPr>
        <w:t>“业务培训费”项目。各部门进一步优化部门内部预算，适度压缩其他一般性业务支出，向与教学业绩考核数据相关业务的“业务培训费”等经费倾斜。</w:t>
      </w:r>
    </w:p>
    <w:p>
      <w:pPr>
        <w:spacing w:after="156" w:afterLines="50" w:line="360" w:lineRule="auto"/>
        <w:ind w:firstLine="482" w:firstLineChars="200"/>
        <w:outlineLvl w:val="2"/>
        <w:rPr>
          <w:rFonts w:ascii="宋体" w:hAnsi="宋体"/>
          <w:b/>
          <w:sz w:val="24"/>
        </w:rPr>
      </w:pPr>
      <w:r>
        <w:rPr>
          <w:rFonts w:hint="eastAsia" w:ascii="宋体" w:hAnsi="宋体"/>
          <w:b/>
          <w:sz w:val="24"/>
        </w:rPr>
        <w:t>3.日常业务经费</w:t>
      </w:r>
    </w:p>
    <w:p>
      <w:pPr>
        <w:spacing w:line="360" w:lineRule="auto"/>
        <w:ind w:firstLine="480" w:firstLineChars="200"/>
        <w:rPr>
          <w:b/>
          <w:color w:val="FF0000"/>
          <w:sz w:val="24"/>
        </w:rPr>
      </w:pPr>
      <w:r>
        <w:rPr>
          <w:rFonts w:hint="eastAsia" w:ascii="宋体" w:hAnsi="宋体"/>
          <w:color w:val="0000FF"/>
          <w:sz w:val="24"/>
        </w:rPr>
        <w:t>日常业务经费</w:t>
      </w:r>
      <w:r>
        <w:rPr>
          <w:rFonts w:hint="eastAsia" w:ascii="宋体" w:hAnsi="宋体"/>
          <w:sz w:val="24"/>
        </w:rPr>
        <w:t>主要用于各部门所承担职能范围直接相关的经常性业务支出，该项经费</w:t>
      </w:r>
      <w:r>
        <w:rPr>
          <w:rFonts w:hint="eastAsia" w:ascii="宋体" w:hAnsi="宋体"/>
          <w:color w:val="0000FF"/>
          <w:sz w:val="24"/>
        </w:rPr>
        <w:t>须分子项申报</w:t>
      </w:r>
      <w:r>
        <w:rPr>
          <w:rFonts w:hint="eastAsia" w:ascii="宋体" w:hAnsi="宋体"/>
          <w:sz w:val="24"/>
        </w:rPr>
        <w:t>。</w:t>
      </w:r>
      <w:r>
        <w:rPr>
          <w:rFonts w:hint="eastAsia"/>
          <w:b/>
          <w:color w:val="FF0000"/>
          <w:sz w:val="24"/>
        </w:rPr>
        <w:t>各二级学院日常业务经费按以下要求申报。</w:t>
      </w:r>
    </w:p>
    <w:p>
      <w:pPr>
        <w:spacing w:line="360" w:lineRule="auto"/>
        <w:ind w:firstLine="480" w:firstLineChars="200"/>
        <w:rPr>
          <w:rFonts w:ascii="宋体" w:hAnsi="宋体"/>
          <w:sz w:val="24"/>
        </w:rPr>
      </w:pPr>
      <w:r>
        <w:rPr>
          <w:rFonts w:hint="eastAsia" w:ascii="宋体" w:hAnsi="宋体"/>
          <w:sz w:val="24"/>
        </w:rPr>
        <w:t>（1）实训（实验）材料费、实习费根据实际情况按需申报。</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FF"/>
          <w:sz w:val="24"/>
        </w:rPr>
        <w:t>基层党建经费、文化品牌建设补助暂按201</w:t>
      </w:r>
      <w:r>
        <w:rPr>
          <w:rFonts w:ascii="宋体" w:hAnsi="宋体"/>
          <w:color w:val="0000FF"/>
          <w:sz w:val="24"/>
        </w:rPr>
        <w:t>9</w:t>
      </w:r>
      <w:r>
        <w:rPr>
          <w:rFonts w:hint="eastAsia" w:ascii="宋体" w:hAnsi="宋体"/>
          <w:color w:val="0000FF"/>
          <w:sz w:val="24"/>
        </w:rPr>
        <w:t>年标准申报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（3）其他日常业务经费（不含实习费、实训（实验）材料费）和公务费暂按下列方法计算的经费总额范围内自主分配。</w:t>
      </w:r>
    </w:p>
    <w:p>
      <w:pPr>
        <w:spacing w:line="360" w:lineRule="auto"/>
        <w:jc w:val="center"/>
        <w:rPr>
          <w:rFonts w:ascii="宋体" w:hAnsi="宋体"/>
          <w:sz w:val="24"/>
        </w:rPr>
      </w:pPr>
      <w:r>
        <w:rPr>
          <w:rFonts w:hint="eastAsia" w:ascii="宋体" w:hAnsi="宋体"/>
          <w:sz w:val="24"/>
        </w:rPr>
        <w:t>经费总额度=2020学年应缴学费总额×下拨比例×规模系数</w:t>
      </w:r>
    </w:p>
    <w:p>
      <w:pPr>
        <w:spacing w:line="360" w:lineRule="auto"/>
        <w:jc w:val="center"/>
        <w:rPr>
          <w:rFonts w:ascii="宋体" w:hAnsi="宋体"/>
          <w:sz w:val="24"/>
        </w:rPr>
      </w:pPr>
      <w:r>
        <w:rPr>
          <w:rFonts w:hint="eastAsia" w:ascii="黑体" w:hAnsi="黑体" w:eastAsia="黑体" w:cs="宋体"/>
          <w:b/>
          <w:bCs/>
          <w:color w:val="000000"/>
          <w:kern w:val="0"/>
          <w:sz w:val="24"/>
        </w:rPr>
        <w:t>表2：二级学院其他日常业务经费总额度测算表</w:t>
      </w:r>
    </w:p>
    <w:tbl>
      <w:tblPr>
        <w:tblStyle w:val="6"/>
        <w:tblW w:w="8264" w:type="dxa"/>
        <w:tblInd w:w="93" w:type="dxa"/>
        <w:tblLayout w:type="autofit"/>
        <w:tblCellMar>
          <w:top w:w="0" w:type="dxa"/>
          <w:left w:w="108" w:type="dxa"/>
          <w:bottom w:w="0" w:type="dxa"/>
          <w:right w:w="108" w:type="dxa"/>
        </w:tblCellMar>
      </w:tblPr>
      <w:tblGrid>
        <w:gridCol w:w="1554"/>
        <w:gridCol w:w="1863"/>
        <w:gridCol w:w="1276"/>
        <w:gridCol w:w="850"/>
        <w:gridCol w:w="2721"/>
      </w:tblGrid>
      <w:tr>
        <w:tblPrEx>
          <w:tblCellMar>
            <w:top w:w="0" w:type="dxa"/>
            <w:left w:w="108" w:type="dxa"/>
            <w:bottom w:w="0" w:type="dxa"/>
            <w:right w:w="108" w:type="dxa"/>
          </w:tblCellMar>
        </w:tblPrEx>
        <w:trPr>
          <w:trHeight w:val="795"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b/>
                <w:sz w:val="22"/>
                <w:szCs w:val="22"/>
              </w:rPr>
            </w:pPr>
            <w:r>
              <w:rPr>
                <w:rFonts w:hint="eastAsia"/>
                <w:b/>
                <w:sz w:val="22"/>
                <w:szCs w:val="22"/>
              </w:rPr>
              <w:t>二级学院</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
                <w:sz w:val="22"/>
                <w:szCs w:val="22"/>
              </w:rPr>
            </w:pPr>
            <w:r>
              <w:rPr>
                <w:rFonts w:hint="eastAsia"/>
                <w:b/>
                <w:sz w:val="22"/>
                <w:szCs w:val="22"/>
              </w:rPr>
              <w:t>应缴学费总额（元）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
                <w:sz w:val="22"/>
                <w:szCs w:val="22"/>
              </w:rPr>
            </w:pPr>
            <w:r>
              <w:rPr>
                <w:rFonts w:hint="eastAsia"/>
                <w:b/>
                <w:sz w:val="22"/>
                <w:szCs w:val="22"/>
              </w:rPr>
              <w:t>下拨比例</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
                <w:sz w:val="22"/>
                <w:szCs w:val="22"/>
              </w:rPr>
            </w:pPr>
            <w:r>
              <w:rPr>
                <w:rFonts w:hint="eastAsia"/>
                <w:b/>
                <w:sz w:val="22"/>
                <w:szCs w:val="22"/>
              </w:rPr>
              <w:t>规模系数</w:t>
            </w:r>
          </w:p>
        </w:tc>
        <w:tc>
          <w:tcPr>
            <w:tcW w:w="272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其他日常业务经费总额度（元）</w:t>
            </w:r>
          </w:p>
        </w:tc>
      </w:tr>
      <w:tr>
        <w:tblPrEx>
          <w:tblCellMar>
            <w:top w:w="0" w:type="dxa"/>
            <w:left w:w="108" w:type="dxa"/>
            <w:bottom w:w="0" w:type="dxa"/>
            <w:right w:w="108" w:type="dxa"/>
          </w:tblCellMar>
        </w:tblPrEx>
        <w:trPr>
          <w:trHeight w:val="509"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医学院</w:t>
            </w:r>
          </w:p>
        </w:tc>
        <w:tc>
          <w:tcPr>
            <w:tcW w:w="1863" w:type="dxa"/>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right"/>
              <w:rPr>
                <w:color w:val="000000"/>
                <w:kern w:val="0"/>
                <w:sz w:val="22"/>
                <w:szCs w:val="22"/>
              </w:rPr>
            </w:pPr>
            <w:r>
              <w:rPr>
                <w:color w:val="0000FF"/>
                <w:sz w:val="22"/>
                <w:szCs w:val="22"/>
              </w:rPr>
              <w:t>14</w:t>
            </w:r>
            <w:r>
              <w:rPr>
                <w:rFonts w:hint="eastAsia"/>
                <w:color w:val="0000FF"/>
                <w:sz w:val="22"/>
                <w:szCs w:val="22"/>
              </w:rPr>
              <w:t>5677</w:t>
            </w:r>
            <w:r>
              <w:rPr>
                <w:color w:val="0000FF"/>
                <w:sz w:val="22"/>
                <w:szCs w:val="22"/>
              </w:rPr>
              <w:t>00</w:t>
            </w:r>
          </w:p>
        </w:tc>
        <w:tc>
          <w:tcPr>
            <w:tcW w:w="1276" w:type="dxa"/>
            <w:tcBorders>
              <w:top w:val="single" w:color="auto" w:sz="8" w:space="0"/>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w:t>
            </w:r>
          </w:p>
        </w:tc>
        <w:tc>
          <w:tcPr>
            <w:tcW w:w="2721"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color w:val="000000"/>
                <w:sz w:val="22"/>
                <w:szCs w:val="22"/>
              </w:rPr>
              <w:t>4</w:t>
            </w:r>
            <w:r>
              <w:rPr>
                <w:rFonts w:hint="eastAsia"/>
                <w:color w:val="000000"/>
                <w:sz w:val="22"/>
                <w:szCs w:val="22"/>
              </w:rPr>
              <w:t>37031</w:t>
            </w:r>
          </w:p>
        </w:tc>
      </w:tr>
      <w:tr>
        <w:tblPrEx>
          <w:tblCellMar>
            <w:top w:w="0" w:type="dxa"/>
            <w:left w:w="108" w:type="dxa"/>
            <w:bottom w:w="0" w:type="dxa"/>
            <w:right w:w="108" w:type="dxa"/>
          </w:tblCellMar>
        </w:tblPrEx>
        <w:trPr>
          <w:trHeight w:val="559"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信息工程学院</w:t>
            </w:r>
          </w:p>
        </w:tc>
        <w:tc>
          <w:tcPr>
            <w:tcW w:w="1863" w:type="dxa"/>
            <w:tcBorders>
              <w:top w:val="nil"/>
              <w:left w:val="nil"/>
              <w:bottom w:val="single" w:color="auto" w:sz="8" w:space="0"/>
              <w:right w:val="single" w:color="auto" w:sz="8" w:space="0"/>
            </w:tcBorders>
            <w:shd w:val="clear" w:color="auto" w:fill="auto"/>
            <w:noWrap/>
            <w:vAlign w:val="center"/>
          </w:tcPr>
          <w:p>
            <w:pPr>
              <w:spacing w:line="360" w:lineRule="auto"/>
              <w:jc w:val="right"/>
              <w:rPr>
                <w:color w:val="000000"/>
                <w:sz w:val="22"/>
                <w:szCs w:val="22"/>
              </w:rPr>
            </w:pPr>
            <w:r>
              <w:rPr>
                <w:color w:val="0000FF"/>
                <w:sz w:val="22"/>
                <w:szCs w:val="22"/>
              </w:rPr>
              <w:t>9</w:t>
            </w:r>
            <w:r>
              <w:rPr>
                <w:rFonts w:hint="eastAsia"/>
                <w:color w:val="0000FF"/>
                <w:sz w:val="22"/>
                <w:szCs w:val="22"/>
              </w:rPr>
              <w:t>0618</w:t>
            </w:r>
            <w:r>
              <w:rPr>
                <w:color w:val="0000FF"/>
                <w:sz w:val="22"/>
                <w:szCs w:val="22"/>
              </w:rPr>
              <w:t>00</w:t>
            </w:r>
          </w:p>
        </w:tc>
        <w:tc>
          <w:tcPr>
            <w:tcW w:w="1276" w:type="dxa"/>
            <w:tcBorders>
              <w:top w:val="nil"/>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nil"/>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w:t>
            </w:r>
          </w:p>
        </w:tc>
        <w:tc>
          <w:tcPr>
            <w:tcW w:w="2721" w:type="dxa"/>
            <w:tcBorders>
              <w:top w:val="nil"/>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color w:val="000000"/>
                <w:sz w:val="22"/>
                <w:szCs w:val="22"/>
              </w:rPr>
              <w:t>2</w:t>
            </w:r>
            <w:r>
              <w:rPr>
                <w:rFonts w:hint="eastAsia"/>
                <w:color w:val="000000"/>
                <w:sz w:val="22"/>
                <w:szCs w:val="22"/>
              </w:rPr>
              <w:t>71854</w:t>
            </w:r>
          </w:p>
        </w:tc>
      </w:tr>
      <w:tr>
        <w:tblPrEx>
          <w:tblCellMar>
            <w:top w:w="0" w:type="dxa"/>
            <w:left w:w="108" w:type="dxa"/>
            <w:bottom w:w="0" w:type="dxa"/>
            <w:right w:w="108" w:type="dxa"/>
          </w:tblCellMar>
        </w:tblPrEx>
        <w:trPr>
          <w:trHeight w:val="553"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机电工程学院</w:t>
            </w:r>
          </w:p>
        </w:tc>
        <w:tc>
          <w:tcPr>
            <w:tcW w:w="1863" w:type="dxa"/>
            <w:tcBorders>
              <w:top w:val="nil"/>
              <w:left w:val="nil"/>
              <w:bottom w:val="single" w:color="auto" w:sz="8" w:space="0"/>
              <w:right w:val="single" w:color="auto" w:sz="8" w:space="0"/>
            </w:tcBorders>
            <w:shd w:val="clear" w:color="auto" w:fill="auto"/>
            <w:noWrap/>
            <w:vAlign w:val="center"/>
          </w:tcPr>
          <w:p>
            <w:pPr>
              <w:spacing w:line="360" w:lineRule="auto"/>
              <w:jc w:val="right"/>
              <w:rPr>
                <w:color w:val="000000"/>
                <w:sz w:val="22"/>
                <w:szCs w:val="22"/>
              </w:rPr>
            </w:pPr>
            <w:r>
              <w:rPr>
                <w:color w:val="0000FF"/>
                <w:sz w:val="22"/>
                <w:szCs w:val="22"/>
              </w:rPr>
              <w:t>8</w:t>
            </w:r>
            <w:r>
              <w:rPr>
                <w:rFonts w:hint="eastAsia"/>
                <w:color w:val="0000FF"/>
                <w:sz w:val="22"/>
                <w:szCs w:val="22"/>
              </w:rPr>
              <w:t>0058</w:t>
            </w:r>
            <w:r>
              <w:rPr>
                <w:color w:val="0000FF"/>
                <w:sz w:val="22"/>
                <w:szCs w:val="22"/>
              </w:rPr>
              <w:t>00</w:t>
            </w:r>
          </w:p>
        </w:tc>
        <w:tc>
          <w:tcPr>
            <w:tcW w:w="1276" w:type="dxa"/>
            <w:tcBorders>
              <w:top w:val="nil"/>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nil"/>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w:t>
            </w:r>
          </w:p>
        </w:tc>
        <w:tc>
          <w:tcPr>
            <w:tcW w:w="2721" w:type="dxa"/>
            <w:tcBorders>
              <w:top w:val="nil"/>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color w:val="000000"/>
                <w:sz w:val="22"/>
                <w:szCs w:val="22"/>
              </w:rPr>
              <w:t>2</w:t>
            </w:r>
            <w:r>
              <w:rPr>
                <w:rFonts w:hint="eastAsia"/>
                <w:color w:val="000000"/>
                <w:sz w:val="22"/>
                <w:szCs w:val="22"/>
              </w:rPr>
              <w:t>40174</w:t>
            </w:r>
          </w:p>
        </w:tc>
      </w:tr>
      <w:tr>
        <w:tblPrEx>
          <w:tblCellMar>
            <w:top w:w="0" w:type="dxa"/>
            <w:left w:w="108" w:type="dxa"/>
            <w:bottom w:w="0" w:type="dxa"/>
            <w:right w:w="108" w:type="dxa"/>
          </w:tblCellMar>
        </w:tblPrEx>
        <w:trPr>
          <w:trHeight w:val="561"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艺术设计学院</w:t>
            </w:r>
          </w:p>
        </w:tc>
        <w:tc>
          <w:tcPr>
            <w:tcW w:w="1863" w:type="dxa"/>
            <w:tcBorders>
              <w:top w:val="nil"/>
              <w:left w:val="nil"/>
              <w:bottom w:val="single" w:color="auto" w:sz="8" w:space="0"/>
              <w:right w:val="single" w:color="auto" w:sz="8" w:space="0"/>
            </w:tcBorders>
            <w:shd w:val="clear" w:color="auto" w:fill="auto"/>
            <w:noWrap/>
            <w:vAlign w:val="center"/>
          </w:tcPr>
          <w:p>
            <w:pPr>
              <w:spacing w:line="360" w:lineRule="auto"/>
              <w:jc w:val="right"/>
              <w:rPr>
                <w:color w:val="000000"/>
                <w:sz w:val="22"/>
                <w:szCs w:val="22"/>
              </w:rPr>
            </w:pPr>
            <w:r>
              <w:rPr>
                <w:rFonts w:hint="eastAsia"/>
                <w:color w:val="0000FF"/>
                <w:sz w:val="22"/>
                <w:szCs w:val="22"/>
              </w:rPr>
              <w:t>5607</w:t>
            </w:r>
            <w:r>
              <w:rPr>
                <w:color w:val="0000FF"/>
                <w:sz w:val="22"/>
                <w:szCs w:val="22"/>
              </w:rPr>
              <w:t>000</w:t>
            </w:r>
          </w:p>
        </w:tc>
        <w:tc>
          <w:tcPr>
            <w:tcW w:w="1276" w:type="dxa"/>
            <w:tcBorders>
              <w:top w:val="nil"/>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nil"/>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1.2</w:t>
            </w:r>
          </w:p>
        </w:tc>
        <w:tc>
          <w:tcPr>
            <w:tcW w:w="2721" w:type="dxa"/>
            <w:tcBorders>
              <w:top w:val="nil"/>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rFonts w:hint="eastAsia"/>
                <w:color w:val="000000"/>
                <w:sz w:val="22"/>
                <w:szCs w:val="22"/>
              </w:rPr>
              <w:t>201852</w:t>
            </w:r>
          </w:p>
        </w:tc>
      </w:tr>
      <w:tr>
        <w:tblPrEx>
          <w:tblCellMar>
            <w:top w:w="0" w:type="dxa"/>
            <w:left w:w="108" w:type="dxa"/>
            <w:bottom w:w="0" w:type="dxa"/>
            <w:right w:w="108" w:type="dxa"/>
          </w:tblCellMar>
        </w:tblPrEx>
        <w:trPr>
          <w:trHeight w:val="569"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经济管理学院</w:t>
            </w:r>
          </w:p>
        </w:tc>
        <w:tc>
          <w:tcPr>
            <w:tcW w:w="1863" w:type="dxa"/>
            <w:tcBorders>
              <w:top w:val="nil"/>
              <w:left w:val="nil"/>
              <w:bottom w:val="single" w:color="auto" w:sz="8" w:space="0"/>
              <w:right w:val="single" w:color="auto" w:sz="8" w:space="0"/>
            </w:tcBorders>
            <w:shd w:val="clear" w:color="auto" w:fill="auto"/>
            <w:noWrap/>
            <w:vAlign w:val="center"/>
          </w:tcPr>
          <w:p>
            <w:pPr>
              <w:spacing w:line="360" w:lineRule="auto"/>
              <w:jc w:val="right"/>
              <w:rPr>
                <w:color w:val="000000"/>
                <w:sz w:val="22"/>
                <w:szCs w:val="22"/>
              </w:rPr>
            </w:pPr>
            <w:r>
              <w:rPr>
                <w:color w:val="0000FF"/>
                <w:sz w:val="22"/>
                <w:szCs w:val="22"/>
              </w:rPr>
              <w:t>79</w:t>
            </w:r>
            <w:r>
              <w:rPr>
                <w:rFonts w:hint="eastAsia"/>
                <w:color w:val="0000FF"/>
                <w:sz w:val="22"/>
                <w:szCs w:val="22"/>
              </w:rPr>
              <w:t>2120</w:t>
            </w:r>
            <w:r>
              <w:rPr>
                <w:color w:val="0000FF"/>
                <w:sz w:val="22"/>
                <w:szCs w:val="22"/>
              </w:rPr>
              <w:t>0</w:t>
            </w:r>
          </w:p>
        </w:tc>
        <w:tc>
          <w:tcPr>
            <w:tcW w:w="1276" w:type="dxa"/>
            <w:tcBorders>
              <w:top w:val="nil"/>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nil"/>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w:t>
            </w:r>
          </w:p>
        </w:tc>
        <w:tc>
          <w:tcPr>
            <w:tcW w:w="2721" w:type="dxa"/>
            <w:tcBorders>
              <w:top w:val="nil"/>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color w:val="000000"/>
                <w:sz w:val="22"/>
                <w:szCs w:val="22"/>
              </w:rPr>
              <w:t>237</w:t>
            </w:r>
            <w:r>
              <w:rPr>
                <w:rFonts w:hint="eastAsia"/>
                <w:color w:val="000000"/>
                <w:sz w:val="22"/>
                <w:szCs w:val="22"/>
              </w:rPr>
              <w:t>636</w:t>
            </w:r>
          </w:p>
        </w:tc>
      </w:tr>
      <w:tr>
        <w:tblPrEx>
          <w:tblCellMar>
            <w:top w:w="0" w:type="dxa"/>
            <w:left w:w="108" w:type="dxa"/>
            <w:bottom w:w="0" w:type="dxa"/>
            <w:right w:w="108" w:type="dxa"/>
          </w:tblCellMar>
        </w:tblPrEx>
        <w:trPr>
          <w:trHeight w:val="569" w:hRule="atLeast"/>
        </w:trPr>
        <w:tc>
          <w:tcPr>
            <w:tcW w:w="15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文旅学院</w:t>
            </w:r>
          </w:p>
        </w:tc>
        <w:tc>
          <w:tcPr>
            <w:tcW w:w="1863" w:type="dxa"/>
            <w:tcBorders>
              <w:top w:val="nil"/>
              <w:left w:val="nil"/>
              <w:bottom w:val="single" w:color="auto" w:sz="8" w:space="0"/>
              <w:right w:val="single" w:color="auto" w:sz="8" w:space="0"/>
            </w:tcBorders>
            <w:shd w:val="clear" w:color="auto" w:fill="auto"/>
            <w:noWrap/>
            <w:vAlign w:val="center"/>
          </w:tcPr>
          <w:p>
            <w:pPr>
              <w:spacing w:line="360" w:lineRule="auto"/>
              <w:jc w:val="right"/>
              <w:rPr>
                <w:color w:val="000000"/>
                <w:sz w:val="22"/>
                <w:szCs w:val="22"/>
              </w:rPr>
            </w:pPr>
            <w:r>
              <w:rPr>
                <w:rFonts w:hint="eastAsia"/>
                <w:color w:val="0000FF"/>
                <w:sz w:val="22"/>
                <w:szCs w:val="22"/>
              </w:rPr>
              <w:t>2046</w:t>
            </w:r>
            <w:r>
              <w:rPr>
                <w:color w:val="0000FF"/>
                <w:sz w:val="22"/>
                <w:szCs w:val="22"/>
              </w:rPr>
              <w:t>000</w:t>
            </w:r>
          </w:p>
        </w:tc>
        <w:tc>
          <w:tcPr>
            <w:tcW w:w="1276" w:type="dxa"/>
            <w:tcBorders>
              <w:top w:val="nil"/>
              <w:left w:val="nil"/>
              <w:bottom w:val="single" w:color="auto" w:sz="8" w:space="0"/>
              <w:right w:val="single" w:color="auto" w:sz="8" w:space="0"/>
            </w:tcBorders>
            <w:shd w:val="clear" w:color="auto" w:fill="auto"/>
            <w:noWrap/>
            <w:vAlign w:val="center"/>
          </w:tcPr>
          <w:p>
            <w:pPr>
              <w:spacing w:line="360" w:lineRule="auto"/>
              <w:jc w:val="center"/>
              <w:rPr>
                <w:color w:val="000000"/>
                <w:sz w:val="22"/>
                <w:szCs w:val="22"/>
              </w:rPr>
            </w:pPr>
            <w:r>
              <w:rPr>
                <w:color w:val="000000"/>
                <w:sz w:val="22"/>
                <w:szCs w:val="22"/>
              </w:rPr>
              <w:t>0.03</w:t>
            </w:r>
          </w:p>
        </w:tc>
        <w:tc>
          <w:tcPr>
            <w:tcW w:w="850" w:type="dxa"/>
            <w:tcBorders>
              <w:top w:val="nil"/>
              <w:left w:val="nil"/>
              <w:bottom w:val="single" w:color="auto" w:sz="8" w:space="0"/>
              <w:right w:val="single" w:color="auto" w:sz="8" w:space="0"/>
            </w:tcBorders>
            <w:shd w:val="clear" w:color="auto" w:fill="auto"/>
            <w:noWrap/>
            <w:vAlign w:val="center"/>
          </w:tcPr>
          <w:p>
            <w:pPr>
              <w:spacing w:line="360" w:lineRule="auto"/>
              <w:jc w:val="center"/>
              <w:rPr>
                <w:sz w:val="22"/>
                <w:szCs w:val="22"/>
              </w:rPr>
            </w:pPr>
            <w:r>
              <w:rPr>
                <w:sz w:val="22"/>
                <w:szCs w:val="22"/>
              </w:rPr>
              <w:t>1.2</w:t>
            </w:r>
          </w:p>
        </w:tc>
        <w:tc>
          <w:tcPr>
            <w:tcW w:w="2721" w:type="dxa"/>
            <w:tcBorders>
              <w:top w:val="nil"/>
              <w:left w:val="nil"/>
              <w:bottom w:val="single" w:color="auto" w:sz="8" w:space="0"/>
              <w:right w:val="single" w:color="auto" w:sz="8" w:space="0"/>
            </w:tcBorders>
            <w:shd w:val="clear" w:color="auto" w:fill="auto"/>
            <w:vAlign w:val="center"/>
          </w:tcPr>
          <w:p>
            <w:pPr>
              <w:spacing w:line="360" w:lineRule="auto"/>
              <w:jc w:val="right"/>
              <w:rPr>
                <w:color w:val="000000"/>
                <w:sz w:val="22"/>
                <w:szCs w:val="22"/>
              </w:rPr>
            </w:pPr>
            <w:r>
              <w:rPr>
                <w:rFonts w:hint="eastAsia"/>
                <w:color w:val="000000"/>
                <w:sz w:val="22"/>
                <w:szCs w:val="22"/>
              </w:rPr>
              <w:t>73656</w:t>
            </w:r>
          </w:p>
        </w:tc>
      </w:tr>
    </w:tbl>
    <w:p>
      <w:pPr>
        <w:spacing w:line="360" w:lineRule="auto"/>
        <w:ind w:firstLine="480" w:firstLineChars="200"/>
        <w:rPr>
          <w:rFonts w:ascii="宋体" w:hAnsi="宋体"/>
          <w:sz w:val="24"/>
        </w:rPr>
      </w:pPr>
      <w:r>
        <w:rPr>
          <w:rFonts w:hint="eastAsia" w:ascii="宋体" w:hAnsi="宋体"/>
          <w:sz w:val="24"/>
        </w:rPr>
        <w:t>（4）建议各二级学院控制公务费数额，经费分配向教师培养费、学生活动费等业务经费倾斜。</w:t>
      </w:r>
    </w:p>
    <w:p>
      <w:pPr>
        <w:spacing w:after="156" w:afterLines="50" w:line="360" w:lineRule="auto"/>
        <w:ind w:firstLine="482" w:firstLineChars="200"/>
        <w:outlineLvl w:val="2"/>
        <w:rPr>
          <w:rFonts w:ascii="宋体" w:hAnsi="宋体"/>
          <w:b/>
          <w:sz w:val="24"/>
        </w:rPr>
      </w:pPr>
      <w:r>
        <w:rPr>
          <w:rFonts w:ascii="宋体" w:hAnsi="宋体"/>
          <w:b/>
          <w:sz w:val="24"/>
        </w:rPr>
        <w:t>4</w:t>
      </w:r>
      <w:r>
        <w:rPr>
          <w:rFonts w:hint="eastAsia" w:ascii="宋体" w:hAnsi="宋体"/>
          <w:b/>
          <w:sz w:val="24"/>
        </w:rPr>
        <w:t>.一次性项目经费</w:t>
      </w:r>
    </w:p>
    <w:p>
      <w:pPr>
        <w:spacing w:line="360" w:lineRule="auto"/>
        <w:ind w:firstLine="480" w:firstLineChars="200"/>
        <w:rPr>
          <w:rFonts w:ascii="宋体" w:hAnsi="宋体"/>
          <w:sz w:val="24"/>
        </w:rPr>
      </w:pPr>
      <w:r>
        <w:rPr>
          <w:rFonts w:hint="eastAsia" w:ascii="宋体" w:hAnsi="宋体"/>
          <w:sz w:val="24"/>
        </w:rPr>
        <w:t>主要用于各部门20</w:t>
      </w:r>
      <w:r>
        <w:rPr>
          <w:rFonts w:ascii="宋体" w:hAnsi="宋体"/>
          <w:sz w:val="24"/>
        </w:rPr>
        <w:t>2</w:t>
      </w:r>
      <w:r>
        <w:rPr>
          <w:rFonts w:hint="eastAsia" w:ascii="宋体" w:hAnsi="宋体"/>
          <w:sz w:val="24"/>
        </w:rPr>
        <w:t>1年度计划新增的一次性项目支出。该项经费须详细说明支出内容、测算依据和预算金额。</w:t>
      </w:r>
    </w:p>
    <w:p>
      <w:pPr>
        <w:spacing w:before="156" w:beforeLines="50" w:after="156" w:afterLines="50" w:line="360" w:lineRule="auto"/>
        <w:ind w:firstLine="482" w:firstLineChars="200"/>
        <w:outlineLvl w:val="1"/>
        <w:rPr>
          <w:rFonts w:ascii="宋体" w:hAnsi="宋体"/>
          <w:b/>
          <w:sz w:val="24"/>
        </w:rPr>
      </w:pPr>
      <w:r>
        <w:rPr>
          <w:rFonts w:hint="eastAsia" w:ascii="宋体" w:hAnsi="宋体"/>
          <w:b/>
          <w:sz w:val="24"/>
        </w:rPr>
        <w:t>（三）市级部门经费预算</w:t>
      </w:r>
    </w:p>
    <w:p>
      <w:pPr>
        <w:spacing w:line="360" w:lineRule="auto"/>
        <w:ind w:firstLine="480" w:firstLineChars="200"/>
        <w:rPr>
          <w:rFonts w:ascii="宋体" w:hAnsi="宋体"/>
          <w:sz w:val="24"/>
        </w:rPr>
      </w:pPr>
      <w:r>
        <w:rPr>
          <w:rFonts w:hint="eastAsia" w:ascii="宋体" w:hAnsi="宋体"/>
          <w:sz w:val="24"/>
        </w:rPr>
        <w:t>请市级部门预算项目归口责任部门在分类汇总学校各部门上报的学校部门经费预算的基础上，结合2020年市级部门预算和学校</w:t>
      </w:r>
      <w:r>
        <w:rPr>
          <w:rFonts w:hint="eastAsia" w:ascii="宋体" w:hAnsi="宋体"/>
          <w:color w:val="auto"/>
          <w:sz w:val="24"/>
        </w:rPr>
        <w:t>十四五</w:t>
      </w:r>
      <w:r>
        <w:rPr>
          <w:rFonts w:hint="eastAsia" w:ascii="宋体" w:hAnsi="宋体"/>
          <w:sz w:val="24"/>
        </w:rPr>
        <w:t>规划，</w:t>
      </w:r>
      <w:r>
        <w:rPr>
          <w:rFonts w:hint="eastAsia" w:ascii="宋体" w:hAnsi="宋体"/>
          <w:b/>
          <w:color w:val="FF0000"/>
          <w:sz w:val="24"/>
        </w:rPr>
        <w:t>填写</w:t>
      </w:r>
      <w:r>
        <w:rPr>
          <w:rFonts w:hint="eastAsia"/>
          <w:b/>
          <w:color w:val="FF0000"/>
          <w:sz w:val="24"/>
        </w:rPr>
        <w:t>《20</w:t>
      </w:r>
      <w:r>
        <w:rPr>
          <w:b/>
          <w:color w:val="FF0000"/>
          <w:sz w:val="24"/>
        </w:rPr>
        <w:t>2</w:t>
      </w:r>
      <w:r>
        <w:rPr>
          <w:rFonts w:hint="eastAsia"/>
          <w:b/>
          <w:color w:val="FF0000"/>
          <w:sz w:val="24"/>
        </w:rPr>
        <w:t>1年度市级部门预算项目支出申报书》（附件3）</w:t>
      </w:r>
      <w:r>
        <w:rPr>
          <w:rFonts w:hint="eastAsia"/>
          <w:b/>
          <w:color w:val="FF0000"/>
          <w:sz w:val="24"/>
          <w:lang w:val="en-US" w:eastAsia="zh-CN"/>
        </w:rPr>
        <w:t>和《2021年度市部门预算项目绩效评价指标表》</w:t>
      </w:r>
      <w:r>
        <w:rPr>
          <w:rFonts w:hint="eastAsia"/>
          <w:b/>
          <w:color w:val="FF0000"/>
          <w:sz w:val="24"/>
        </w:rPr>
        <w:t>（附件</w:t>
      </w:r>
      <w:r>
        <w:rPr>
          <w:rFonts w:hint="eastAsia"/>
          <w:b/>
          <w:color w:val="FF0000"/>
          <w:sz w:val="24"/>
          <w:lang w:val="en-US" w:eastAsia="zh-CN"/>
        </w:rPr>
        <w:t>4</w:t>
      </w:r>
      <w:r>
        <w:rPr>
          <w:rFonts w:hint="eastAsia"/>
          <w:b/>
          <w:color w:val="FF0000"/>
          <w:sz w:val="24"/>
        </w:rPr>
        <w:t>）</w:t>
      </w:r>
      <w:r>
        <w:rPr>
          <w:rFonts w:hint="eastAsia" w:ascii="宋体" w:hAnsi="宋体"/>
          <w:b/>
          <w:color w:val="FF0000"/>
          <w:sz w:val="24"/>
        </w:rPr>
        <w:t>，项目内容涉及政府采购和购买服务的，还须填写《政府采购（购买服务）预算表》</w:t>
      </w:r>
      <w:r>
        <w:rPr>
          <w:rFonts w:hint="eastAsia"/>
          <w:b/>
          <w:color w:val="FF0000"/>
          <w:sz w:val="24"/>
        </w:rPr>
        <w:t>（附件3）</w:t>
      </w:r>
      <w:r>
        <w:rPr>
          <w:rFonts w:hint="eastAsia" w:ascii="宋体" w:hAnsi="宋体"/>
          <w:sz w:val="24"/>
        </w:rPr>
        <w:t>。</w:t>
      </w:r>
    </w:p>
    <w:p>
      <w:pPr>
        <w:spacing w:after="156" w:afterLines="50" w:line="360" w:lineRule="auto"/>
        <w:jc w:val="center"/>
        <w:rPr>
          <w:sz w:val="24"/>
        </w:rPr>
      </w:pPr>
      <w:r>
        <w:rPr>
          <w:rFonts w:hint="eastAsia" w:ascii="黑体" w:hAnsi="黑体" w:eastAsia="黑体" w:cs="宋体"/>
          <w:b/>
          <w:bCs/>
          <w:color w:val="000000"/>
          <w:kern w:val="0"/>
          <w:sz w:val="28"/>
          <w:szCs w:val="28"/>
        </w:rPr>
        <w:t>表3：20</w:t>
      </w:r>
      <w:r>
        <w:rPr>
          <w:rFonts w:ascii="黑体" w:hAnsi="黑体" w:eastAsia="黑体" w:cs="宋体"/>
          <w:b/>
          <w:bCs/>
          <w:color w:val="000000"/>
          <w:kern w:val="0"/>
          <w:sz w:val="28"/>
          <w:szCs w:val="28"/>
        </w:rPr>
        <w:t>2</w:t>
      </w:r>
      <w:r>
        <w:rPr>
          <w:rFonts w:hint="eastAsia" w:ascii="黑体" w:hAnsi="黑体" w:eastAsia="黑体" w:cs="宋体"/>
          <w:b/>
          <w:bCs/>
          <w:color w:val="000000"/>
          <w:kern w:val="0"/>
          <w:sz w:val="28"/>
          <w:szCs w:val="28"/>
        </w:rPr>
        <w:t>1年市级部门预算项目申报责任分解表</w:t>
      </w:r>
    </w:p>
    <w:tbl>
      <w:tblPr>
        <w:tblStyle w:val="6"/>
        <w:tblW w:w="8520" w:type="dxa"/>
        <w:tblInd w:w="93" w:type="dxa"/>
        <w:tblLayout w:type="fixed"/>
        <w:tblCellMar>
          <w:top w:w="0" w:type="dxa"/>
          <w:left w:w="108" w:type="dxa"/>
          <w:bottom w:w="0" w:type="dxa"/>
          <w:right w:w="108" w:type="dxa"/>
        </w:tblCellMar>
      </w:tblPr>
      <w:tblGrid>
        <w:gridCol w:w="2142"/>
        <w:gridCol w:w="2268"/>
        <w:gridCol w:w="2600"/>
        <w:gridCol w:w="1510"/>
      </w:tblGrid>
      <w:tr>
        <w:tblPrEx>
          <w:tblCellMar>
            <w:top w:w="0" w:type="dxa"/>
            <w:left w:w="108" w:type="dxa"/>
            <w:bottom w:w="0" w:type="dxa"/>
            <w:right w:w="108" w:type="dxa"/>
          </w:tblCellMar>
        </w:tblPrEx>
        <w:trPr>
          <w:trHeight w:val="540" w:hRule="atLeast"/>
        </w:trPr>
        <w:tc>
          <w:tcPr>
            <w:tcW w:w="2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预算功能科目</w:t>
            </w:r>
          </w:p>
          <w:p>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（财政预算项目）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责任部门</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协助部门</w:t>
            </w:r>
          </w:p>
        </w:tc>
        <w:tc>
          <w:tcPr>
            <w:tcW w:w="151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40" w:hRule="atLeast"/>
        </w:trPr>
        <w:tc>
          <w:tcPr>
            <w:tcW w:w="2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bCs/>
                <w:color w:val="000000"/>
                <w:kern w:val="0"/>
                <w:sz w:val="22"/>
                <w:szCs w:val="22"/>
              </w:rPr>
            </w:pPr>
            <w:r>
              <w:rPr>
                <w:rFonts w:hint="eastAsia" w:ascii="宋体" w:hAnsi="宋体" w:cs="宋体"/>
                <w:bCs/>
                <w:color w:val="000000"/>
                <w:kern w:val="0"/>
                <w:sz w:val="22"/>
                <w:szCs w:val="22"/>
              </w:rPr>
              <w:t>20</w:t>
            </w:r>
            <w:r>
              <w:rPr>
                <w:rFonts w:ascii="宋体" w:hAnsi="宋体" w:cs="宋体"/>
                <w:bCs/>
                <w:color w:val="000000"/>
                <w:kern w:val="0"/>
                <w:sz w:val="22"/>
                <w:szCs w:val="22"/>
              </w:rPr>
              <w:t>2</w:t>
            </w:r>
            <w:r>
              <w:rPr>
                <w:rFonts w:hint="eastAsia" w:ascii="宋体" w:hAnsi="宋体" w:cs="宋体"/>
                <w:bCs/>
                <w:color w:val="000000"/>
                <w:kern w:val="0"/>
                <w:sz w:val="22"/>
                <w:szCs w:val="22"/>
              </w:rPr>
              <w:t>1年学校工作重点及目标</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Cs/>
                <w:color w:val="000000"/>
                <w:kern w:val="0"/>
                <w:sz w:val="22"/>
                <w:szCs w:val="22"/>
              </w:rPr>
            </w:pPr>
            <w:r>
              <w:rPr>
                <w:rFonts w:hint="eastAsia" w:ascii="宋体" w:hAnsi="宋体" w:cs="宋体"/>
                <w:bCs/>
                <w:color w:val="000000"/>
                <w:kern w:val="0"/>
                <w:sz w:val="22"/>
                <w:szCs w:val="22"/>
              </w:rPr>
              <w:t>办公室</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Cs/>
                <w:color w:val="000000"/>
                <w:kern w:val="0"/>
                <w:sz w:val="22"/>
                <w:szCs w:val="22"/>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Cs/>
                <w:color w:val="000000"/>
                <w:kern w:val="0"/>
                <w:sz w:val="22"/>
                <w:szCs w:val="22"/>
              </w:rPr>
            </w:pP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人员编制及其基本信息</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人事处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设施设备情况</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计财处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人员支出</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人事处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计财处、后勤保卫处</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日常公用</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计财处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各部门</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师资建设</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人事处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教务处和各教学单位</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kern w:val="0"/>
                <w:szCs w:val="21"/>
              </w:rPr>
              <w:t>编外聘用人员支出</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人事处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87"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实训基地建设</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设备与实训管理中心</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各教学单位</w:t>
            </w:r>
          </w:p>
        </w:tc>
        <w:tc>
          <w:tcPr>
            <w:tcW w:w="151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教学改革建设</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教务处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规划督导处</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含专业（课程）建设经费</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教学业务经费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教务处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宣传部、学生处、规划与督导处、合作发展处、团委、图书馆、设备与网络管理中心、各教学单位</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学生工作经费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学生处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团委、合作发展处，各教学单位</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后勤保障经费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后勤保卫处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图书资料建设</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图书馆</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科研事业经费</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科研处</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校园文化建设</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宣传部</w:t>
            </w:r>
          </w:p>
        </w:tc>
        <w:tc>
          <w:tcPr>
            <w:tcW w:w="260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各二级学院</w:t>
            </w:r>
          </w:p>
        </w:tc>
        <w:tc>
          <w:tcPr>
            <w:tcW w:w="151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优势专业建设经费</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相关二级学院</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其他上级专项补助</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right="440"/>
              <w:rPr>
                <w:rFonts w:ascii="宋体" w:hAnsi="宋体" w:cs="宋体"/>
                <w:color w:val="000000"/>
                <w:kern w:val="0"/>
                <w:sz w:val="22"/>
                <w:szCs w:val="22"/>
              </w:rPr>
            </w:pPr>
            <w:r>
              <w:rPr>
                <w:rFonts w:hint="eastAsia" w:ascii="宋体" w:hAnsi="宋体" w:cs="宋体"/>
                <w:color w:val="000000"/>
                <w:kern w:val="0"/>
                <w:sz w:val="22"/>
                <w:szCs w:val="22"/>
              </w:rPr>
              <w:t>各业务对口部门</w:t>
            </w:r>
          </w:p>
        </w:tc>
        <w:tc>
          <w:tcPr>
            <w:tcW w:w="26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2"/>
                <w:szCs w:val="22"/>
              </w:rPr>
            </w:pPr>
          </w:p>
        </w:tc>
      </w:tr>
    </w:tbl>
    <w:p>
      <w:pPr>
        <w:spacing w:line="360" w:lineRule="auto"/>
        <w:ind w:firstLine="482" w:firstLineChars="200"/>
        <w:outlineLvl w:val="0"/>
        <w:rPr>
          <w:b/>
          <w:sz w:val="24"/>
        </w:rPr>
      </w:pPr>
      <w:r>
        <w:rPr>
          <w:rFonts w:hint="eastAsia"/>
          <w:b/>
          <w:sz w:val="24"/>
        </w:rPr>
        <w:t>三、预算编制报送要求</w:t>
      </w:r>
    </w:p>
    <w:p>
      <w:pPr>
        <w:spacing w:line="360" w:lineRule="auto"/>
        <w:ind w:firstLine="480" w:firstLineChars="200"/>
        <w:rPr>
          <w:b/>
          <w:color w:val="558ED5" w:themeColor="text2" w:themeTint="99"/>
          <w:sz w:val="24"/>
          <w14:textFill>
            <w14:solidFill>
              <w14:schemeClr w14:val="tx2">
                <w14:lumMod w14:val="60000"/>
                <w14:lumOff w14:val="40000"/>
              </w14:schemeClr>
            </w14:solidFill>
          </w14:textFill>
        </w:rPr>
      </w:pPr>
      <w:r>
        <w:rPr>
          <w:rFonts w:hint="eastAsia" w:ascii="宋体" w:hAnsi="宋体"/>
          <w:sz w:val="24"/>
        </w:rPr>
        <w:t>1.</w:t>
      </w:r>
      <w:r>
        <w:rPr>
          <w:rFonts w:hint="eastAsia" w:ascii="宋体" w:hAnsi="宋体"/>
          <w:b/>
          <w:color w:val="558ED5" w:themeColor="text2" w:themeTint="99"/>
          <w:sz w:val="24"/>
          <w14:textFill>
            <w14:solidFill>
              <w14:schemeClr w14:val="tx2">
                <w14:lumMod w14:val="60000"/>
                <w14:lumOff w14:val="40000"/>
              </w14:schemeClr>
            </w14:solidFill>
          </w14:textFill>
        </w:rPr>
        <w:t>各部门请于10月</w:t>
      </w:r>
      <w:r>
        <w:rPr>
          <w:rFonts w:ascii="宋体" w:hAnsi="宋体"/>
          <w:b/>
          <w:color w:val="558ED5" w:themeColor="text2" w:themeTint="99"/>
          <w:sz w:val="24"/>
          <w14:textFill>
            <w14:solidFill>
              <w14:schemeClr w14:val="tx2">
                <w14:lumMod w14:val="60000"/>
                <w14:lumOff w14:val="40000"/>
              </w14:schemeClr>
            </w14:solidFill>
          </w14:textFill>
        </w:rPr>
        <w:t>30</w:t>
      </w:r>
      <w:r>
        <w:rPr>
          <w:rFonts w:hint="eastAsia" w:ascii="宋体" w:hAnsi="宋体"/>
          <w:b/>
          <w:color w:val="558ED5" w:themeColor="text2" w:themeTint="99"/>
          <w:sz w:val="24"/>
          <w14:textFill>
            <w14:solidFill>
              <w14:schemeClr w14:val="tx2">
                <w14:lumMod w14:val="60000"/>
                <w14:lumOff w14:val="40000"/>
              </w14:schemeClr>
            </w14:solidFill>
          </w14:textFill>
        </w:rPr>
        <w:t>日前</w:t>
      </w:r>
      <w:r>
        <w:rPr>
          <w:rFonts w:hint="eastAsia"/>
          <w:b/>
          <w:color w:val="558ED5" w:themeColor="text2" w:themeTint="99"/>
          <w:sz w:val="24"/>
          <w14:textFill>
            <w14:solidFill>
              <w14:schemeClr w14:val="tx2">
                <w14:lumMod w14:val="60000"/>
                <w14:lumOff w14:val="40000"/>
              </w14:schemeClr>
            </w14:solidFill>
          </w14:textFill>
        </w:rPr>
        <w:t>向计财处报2021-2023收入预算表和20</w:t>
      </w:r>
      <w:r>
        <w:rPr>
          <w:b/>
          <w:color w:val="558ED5" w:themeColor="text2" w:themeTint="99"/>
          <w:sz w:val="24"/>
          <w14:textFill>
            <w14:solidFill>
              <w14:schemeClr w14:val="tx2">
                <w14:lumMod w14:val="60000"/>
                <w14:lumOff w14:val="40000"/>
              </w14:schemeClr>
            </w14:solidFill>
          </w14:textFill>
        </w:rPr>
        <w:t>2</w:t>
      </w:r>
      <w:r>
        <w:rPr>
          <w:rFonts w:hint="eastAsia"/>
          <w:b/>
          <w:color w:val="558ED5" w:themeColor="text2" w:themeTint="99"/>
          <w:sz w:val="24"/>
          <w14:textFill>
            <w14:solidFill>
              <w14:schemeClr w14:val="tx2">
                <w14:lumMod w14:val="60000"/>
                <w14:lumOff w14:val="40000"/>
              </w14:schemeClr>
            </w14:solidFill>
          </w14:textFill>
        </w:rPr>
        <w:t>1年学校部门经费预算申报表</w:t>
      </w:r>
      <w:r>
        <w:rPr>
          <w:rFonts w:hint="eastAsia" w:ascii="宋体" w:hAnsi="宋体"/>
          <w:b/>
          <w:color w:val="558ED5" w:themeColor="text2" w:themeTint="99"/>
          <w:sz w:val="24"/>
          <w14:textFill>
            <w14:solidFill>
              <w14:schemeClr w14:val="tx2">
                <w14:lumMod w14:val="60000"/>
                <w14:lumOff w14:val="40000"/>
              </w14:schemeClr>
            </w14:solidFill>
          </w14:textFill>
        </w:rPr>
        <w:t>（纸质和电子文档各一份）</w:t>
      </w:r>
      <w:r>
        <w:rPr>
          <w:rFonts w:hint="eastAsia"/>
          <w:b/>
          <w:color w:val="558ED5" w:themeColor="text2" w:themeTint="99"/>
          <w:sz w:val="24"/>
          <w14:textFill>
            <w14:solidFill>
              <w14:schemeClr w14:val="tx2">
                <w14:lumMod w14:val="60000"/>
                <w14:lumOff w14:val="40000"/>
              </w14:schemeClr>
            </w14:solidFill>
          </w14:textFill>
        </w:rPr>
        <w:t>。</w:t>
      </w:r>
    </w:p>
    <w:p>
      <w:pPr>
        <w:spacing w:line="360" w:lineRule="auto"/>
        <w:ind w:firstLine="480" w:firstLineChars="200"/>
        <w:rPr>
          <w:rFonts w:ascii="宋体" w:hAnsi="宋体"/>
          <w:b/>
          <w:color w:val="558ED5" w:themeColor="text2" w:themeTint="99"/>
          <w:sz w:val="24"/>
          <w14:textFill>
            <w14:solidFill>
              <w14:schemeClr w14:val="tx2">
                <w14:lumMod w14:val="60000"/>
                <w14:lumOff w14:val="40000"/>
              </w14:schemeClr>
            </w14:solidFill>
          </w14:textFill>
        </w:rPr>
      </w:pPr>
      <w:r>
        <w:rPr>
          <w:rFonts w:hint="eastAsia"/>
          <w:sz w:val="24"/>
        </w:rPr>
        <w:t>2.</w:t>
      </w:r>
      <w:r>
        <w:rPr>
          <w:rFonts w:hint="eastAsia" w:ascii="宋体" w:hAnsi="宋体"/>
          <w:b/>
          <w:color w:val="558ED5" w:themeColor="text2" w:themeTint="99"/>
          <w:sz w:val="24"/>
          <w14:textFill>
            <w14:solidFill>
              <w14:schemeClr w14:val="tx2">
                <w14:lumMod w14:val="60000"/>
                <w14:lumOff w14:val="40000"/>
              </w14:schemeClr>
            </w14:solidFill>
          </w14:textFill>
        </w:rPr>
        <w:t>各部门请于10月</w:t>
      </w:r>
      <w:r>
        <w:rPr>
          <w:rFonts w:ascii="宋体" w:hAnsi="宋体"/>
          <w:b/>
          <w:color w:val="558ED5" w:themeColor="text2" w:themeTint="99"/>
          <w:sz w:val="24"/>
          <w14:textFill>
            <w14:solidFill>
              <w14:schemeClr w14:val="tx2">
                <w14:lumMod w14:val="60000"/>
                <w14:lumOff w14:val="40000"/>
              </w14:schemeClr>
            </w14:solidFill>
          </w14:textFill>
        </w:rPr>
        <w:t>30</w:t>
      </w:r>
      <w:r>
        <w:rPr>
          <w:rFonts w:hint="eastAsia" w:ascii="宋体" w:hAnsi="宋体"/>
          <w:b/>
          <w:color w:val="558ED5" w:themeColor="text2" w:themeTint="99"/>
          <w:sz w:val="24"/>
          <w14:textFill>
            <w14:solidFill>
              <w14:schemeClr w14:val="tx2">
                <w14:lumMod w14:val="60000"/>
                <w14:lumOff w14:val="40000"/>
              </w14:schemeClr>
            </w14:solidFill>
          </w14:textFill>
        </w:rPr>
        <w:t>日前</w:t>
      </w:r>
      <w:r>
        <w:rPr>
          <w:rFonts w:hint="eastAsia"/>
          <w:b/>
          <w:color w:val="558ED5" w:themeColor="text2" w:themeTint="99"/>
          <w:sz w:val="24"/>
          <w14:textFill>
            <w14:solidFill>
              <w14:schemeClr w14:val="tx2">
                <w14:lumMod w14:val="60000"/>
                <w14:lumOff w14:val="40000"/>
              </w14:schemeClr>
            </w14:solidFill>
          </w14:textFill>
        </w:rPr>
        <w:t>向各市级部门预算项目申报责任归口部门报20</w:t>
      </w:r>
      <w:r>
        <w:rPr>
          <w:b/>
          <w:color w:val="558ED5" w:themeColor="text2" w:themeTint="99"/>
          <w:sz w:val="24"/>
          <w14:textFill>
            <w14:solidFill>
              <w14:schemeClr w14:val="tx2">
                <w14:lumMod w14:val="60000"/>
                <w14:lumOff w14:val="40000"/>
              </w14:schemeClr>
            </w14:solidFill>
          </w14:textFill>
        </w:rPr>
        <w:t>2</w:t>
      </w:r>
      <w:r>
        <w:rPr>
          <w:rFonts w:hint="eastAsia"/>
          <w:b/>
          <w:color w:val="558ED5" w:themeColor="text2" w:themeTint="99"/>
          <w:sz w:val="24"/>
          <w14:textFill>
            <w14:solidFill>
              <w14:schemeClr w14:val="tx2">
                <w14:lumMod w14:val="60000"/>
                <w14:lumOff w14:val="40000"/>
              </w14:schemeClr>
            </w14:solidFill>
          </w14:textFill>
        </w:rPr>
        <w:t>1年学校部门经费预算申报表</w:t>
      </w:r>
      <w:r>
        <w:rPr>
          <w:rFonts w:hint="eastAsia" w:ascii="宋体" w:hAnsi="宋体"/>
          <w:b/>
          <w:color w:val="558ED5" w:themeColor="text2" w:themeTint="99"/>
          <w:sz w:val="24"/>
          <w14:textFill>
            <w14:solidFill>
              <w14:schemeClr w14:val="tx2">
                <w14:lumMod w14:val="60000"/>
                <w14:lumOff w14:val="40000"/>
              </w14:schemeClr>
            </w14:solidFill>
          </w14:textFill>
        </w:rPr>
        <w:t>（纸质和电子文档各一份）</w:t>
      </w:r>
      <w:r>
        <w:rPr>
          <w:rFonts w:hint="eastAsia"/>
          <w:b/>
          <w:color w:val="558ED5" w:themeColor="text2" w:themeTint="99"/>
          <w:sz w:val="24"/>
          <w14:textFill>
            <w14:solidFill>
              <w14:schemeClr w14:val="tx2">
                <w14:lumMod w14:val="60000"/>
                <w14:lumOff w14:val="40000"/>
              </w14:schemeClr>
            </w14:solidFill>
          </w14:textFill>
        </w:rPr>
        <w:t>。各</w:t>
      </w:r>
      <w:r>
        <w:rPr>
          <w:rFonts w:hint="eastAsia" w:ascii="宋体" w:hAnsi="宋体"/>
          <w:b/>
          <w:color w:val="558ED5" w:themeColor="text2" w:themeTint="99"/>
          <w:sz w:val="24"/>
          <w14:textFill>
            <w14:solidFill>
              <w14:schemeClr w14:val="tx2">
                <w14:lumMod w14:val="60000"/>
                <w14:lumOff w14:val="40000"/>
              </w14:schemeClr>
            </w14:solidFill>
          </w14:textFill>
        </w:rPr>
        <w:t>归口部门请于1</w:t>
      </w:r>
      <w:r>
        <w:rPr>
          <w:rFonts w:ascii="宋体" w:hAnsi="宋体"/>
          <w:b/>
          <w:color w:val="558ED5" w:themeColor="text2" w:themeTint="99"/>
          <w:sz w:val="24"/>
          <w14:textFill>
            <w14:solidFill>
              <w14:schemeClr w14:val="tx2">
                <w14:lumMod w14:val="60000"/>
                <w14:lumOff w14:val="40000"/>
              </w14:schemeClr>
            </w14:solidFill>
          </w14:textFill>
        </w:rPr>
        <w:t>1</w:t>
      </w:r>
      <w:r>
        <w:rPr>
          <w:rFonts w:hint="eastAsia" w:ascii="宋体" w:hAnsi="宋体"/>
          <w:b/>
          <w:color w:val="558ED5" w:themeColor="text2" w:themeTint="99"/>
          <w:sz w:val="24"/>
          <w14:textFill>
            <w14:solidFill>
              <w14:schemeClr w14:val="tx2">
                <w14:lumMod w14:val="60000"/>
                <w14:lumOff w14:val="40000"/>
              </w14:schemeClr>
            </w14:solidFill>
          </w14:textFill>
        </w:rPr>
        <w:t>月</w:t>
      </w:r>
      <w:r>
        <w:rPr>
          <w:rFonts w:ascii="宋体" w:hAnsi="宋体"/>
          <w:b/>
          <w:color w:val="558ED5" w:themeColor="text2" w:themeTint="99"/>
          <w:sz w:val="24"/>
          <w14:textFill>
            <w14:solidFill>
              <w14:schemeClr w14:val="tx2">
                <w14:lumMod w14:val="60000"/>
                <w14:lumOff w14:val="40000"/>
              </w14:schemeClr>
            </w14:solidFill>
          </w14:textFill>
        </w:rPr>
        <w:t>4</w:t>
      </w:r>
      <w:r>
        <w:rPr>
          <w:rFonts w:hint="eastAsia" w:ascii="宋体" w:hAnsi="宋体"/>
          <w:b/>
          <w:color w:val="558ED5" w:themeColor="text2" w:themeTint="99"/>
          <w:sz w:val="24"/>
          <w14:textFill>
            <w14:solidFill>
              <w14:schemeClr w14:val="tx2">
                <w14:lumMod w14:val="60000"/>
                <w14:lumOff w14:val="40000"/>
              </w14:schemeClr>
            </w14:solidFill>
          </w14:textFill>
        </w:rPr>
        <w:t>日前向计财处上报财政预算项目支出申报书及绩效评价指标表（纸质和电子文档各一份）。</w:t>
      </w:r>
    </w:p>
    <w:p>
      <w:pPr>
        <w:spacing w:line="360" w:lineRule="auto"/>
        <w:ind w:firstLine="480" w:firstLineChars="200"/>
        <w:rPr>
          <w:rFonts w:ascii="宋体" w:hAnsi="宋体"/>
          <w:b/>
          <w:color w:val="558ED5" w:themeColor="text2" w:themeTint="99"/>
          <w:sz w:val="24"/>
          <w14:textFill>
            <w14:solidFill>
              <w14:schemeClr w14:val="tx2">
                <w14:lumMod w14:val="60000"/>
                <w14:lumOff w14:val="40000"/>
              </w14:schemeClr>
            </w14:solidFill>
          </w14:textFill>
        </w:rPr>
      </w:pPr>
      <w:r>
        <w:rPr>
          <w:rFonts w:hint="eastAsia"/>
          <w:sz w:val="24"/>
        </w:rPr>
        <w:t>3.</w:t>
      </w:r>
      <w:r>
        <w:rPr>
          <w:rFonts w:hint="eastAsia" w:ascii="宋体" w:hAnsi="宋体"/>
          <w:b/>
          <w:color w:val="558ED5" w:themeColor="text2" w:themeTint="99"/>
          <w:sz w:val="24"/>
          <w14:textFill>
            <w14:solidFill>
              <w14:schemeClr w14:val="tx2">
                <w14:lumMod w14:val="60000"/>
                <w14:lumOff w14:val="40000"/>
              </w14:schemeClr>
            </w14:solidFill>
          </w14:textFill>
        </w:rPr>
        <w:t>各部门请于10月</w:t>
      </w:r>
      <w:r>
        <w:rPr>
          <w:rFonts w:ascii="宋体" w:hAnsi="宋体"/>
          <w:b/>
          <w:color w:val="558ED5" w:themeColor="text2" w:themeTint="99"/>
          <w:sz w:val="24"/>
          <w14:textFill>
            <w14:solidFill>
              <w14:schemeClr w14:val="tx2">
                <w14:lumMod w14:val="60000"/>
                <w14:lumOff w14:val="40000"/>
              </w14:schemeClr>
            </w14:solidFill>
          </w14:textFill>
        </w:rPr>
        <w:t>30</w:t>
      </w:r>
      <w:r>
        <w:rPr>
          <w:rFonts w:hint="eastAsia" w:ascii="宋体" w:hAnsi="宋体"/>
          <w:b/>
          <w:color w:val="558ED5" w:themeColor="text2" w:themeTint="99"/>
          <w:sz w:val="24"/>
          <w14:textFill>
            <w14:solidFill>
              <w14:schemeClr w14:val="tx2">
                <w14:lumMod w14:val="60000"/>
                <w14:lumOff w14:val="40000"/>
              </w14:schemeClr>
            </w14:solidFill>
          </w14:textFill>
        </w:rPr>
        <w:t>日前向设备与实训管理中心（信息中心）</w:t>
      </w:r>
      <w:r>
        <w:rPr>
          <w:rFonts w:hint="eastAsia"/>
          <w:b/>
          <w:color w:val="558ED5" w:themeColor="text2" w:themeTint="99"/>
          <w:sz w:val="24"/>
          <w14:textFill>
            <w14:solidFill>
              <w14:schemeClr w14:val="tx2">
                <w14:lumMod w14:val="60000"/>
                <w14:lumOff w14:val="40000"/>
              </w14:schemeClr>
            </w14:solidFill>
          </w14:textFill>
        </w:rPr>
        <w:t>报</w:t>
      </w:r>
      <w:r>
        <w:rPr>
          <w:rFonts w:hint="eastAsia" w:ascii="宋体" w:hAnsi="宋体"/>
          <w:b/>
          <w:color w:val="FF0000"/>
          <w:sz w:val="24"/>
        </w:rPr>
        <w:t>政府采购</w:t>
      </w:r>
      <w:r>
        <w:rPr>
          <w:rFonts w:hint="eastAsia"/>
          <w:b/>
          <w:color w:val="558ED5" w:themeColor="text2" w:themeTint="99"/>
          <w:sz w:val="24"/>
          <w14:textFill>
            <w14:solidFill>
              <w14:schemeClr w14:val="tx2">
                <w14:lumMod w14:val="60000"/>
                <w14:lumOff w14:val="40000"/>
              </w14:schemeClr>
            </w14:solidFill>
          </w14:textFill>
        </w:rPr>
        <w:t>预算表</w:t>
      </w:r>
      <w:r>
        <w:rPr>
          <w:rFonts w:hint="eastAsia" w:ascii="宋体" w:hAnsi="宋体"/>
          <w:b/>
          <w:color w:val="558ED5" w:themeColor="text2" w:themeTint="99"/>
          <w:sz w:val="24"/>
          <w14:textFill>
            <w14:solidFill>
              <w14:schemeClr w14:val="tx2">
                <w14:lumMod w14:val="60000"/>
                <w14:lumOff w14:val="40000"/>
              </w14:schemeClr>
            </w14:solidFill>
          </w14:textFill>
        </w:rPr>
        <w:t>（纸质和电子文档各一份），</w:t>
      </w:r>
      <w:r>
        <w:rPr>
          <w:rFonts w:hint="eastAsia" w:ascii="宋体" w:hAnsi="宋体"/>
          <w:b/>
          <w:color w:val="FF0000"/>
          <w:sz w:val="24"/>
        </w:rPr>
        <w:t>采购预算表中注明财政项目名称。</w:t>
      </w:r>
      <w:r>
        <w:rPr>
          <w:rFonts w:hint="eastAsia" w:ascii="宋体" w:hAnsi="宋体"/>
          <w:b/>
          <w:color w:val="558ED5" w:themeColor="text2" w:themeTint="99"/>
          <w:sz w:val="24"/>
          <w14:textFill>
            <w14:solidFill>
              <w14:schemeClr w14:val="tx2">
                <w14:lumMod w14:val="60000"/>
                <w14:lumOff w14:val="40000"/>
              </w14:schemeClr>
            </w14:solidFill>
          </w14:textFill>
        </w:rPr>
        <w:t>设备与实训管理中心审核并按财政项目汇总，预算项目采购汇总表于11月</w:t>
      </w:r>
      <w:r>
        <w:rPr>
          <w:rFonts w:ascii="宋体" w:hAnsi="宋体"/>
          <w:b/>
          <w:color w:val="558ED5" w:themeColor="text2" w:themeTint="99"/>
          <w:sz w:val="24"/>
          <w14:textFill>
            <w14:solidFill>
              <w14:schemeClr w14:val="tx2">
                <w14:lumMod w14:val="60000"/>
                <w14:lumOff w14:val="40000"/>
              </w14:schemeClr>
            </w14:solidFill>
          </w14:textFill>
        </w:rPr>
        <w:t>4</w:t>
      </w:r>
      <w:r>
        <w:rPr>
          <w:rFonts w:hint="eastAsia" w:ascii="宋体" w:hAnsi="宋体"/>
          <w:b/>
          <w:color w:val="558ED5" w:themeColor="text2" w:themeTint="99"/>
          <w:sz w:val="24"/>
          <w14:textFill>
            <w14:solidFill>
              <w14:schemeClr w14:val="tx2">
                <w14:lumMod w14:val="60000"/>
                <w14:lumOff w14:val="40000"/>
              </w14:schemeClr>
            </w14:solidFill>
          </w14:textFill>
        </w:rPr>
        <w:t>日前报计财处（纸质和电子文档各一份）。</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计财处联系人：计划管理科徐苑华；联系电话：8068375。</w:t>
      </w:r>
    </w:p>
    <w:p>
      <w:pPr>
        <w:spacing w:after="156" w:afterLines="50" w:line="360" w:lineRule="auto"/>
        <w:rPr>
          <w:rFonts w:ascii="宋体" w:hAnsi="宋体"/>
          <w:sz w:val="24"/>
        </w:rPr>
      </w:pPr>
    </w:p>
    <w:p>
      <w:pPr>
        <w:spacing w:line="360" w:lineRule="auto"/>
        <w:rPr>
          <w:rFonts w:ascii="宋体" w:hAnsi="宋体"/>
          <w:sz w:val="24"/>
        </w:rPr>
      </w:pPr>
      <w:r>
        <w:rPr>
          <w:rFonts w:hint="eastAsia" w:ascii="宋体" w:hAnsi="宋体"/>
          <w:sz w:val="24"/>
        </w:rPr>
        <w:t>附件</w:t>
      </w: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衢州职业技术学院20</w:t>
      </w:r>
      <w:r>
        <w:rPr>
          <w:rFonts w:ascii="宋体" w:hAnsi="宋体"/>
          <w:sz w:val="24"/>
        </w:rPr>
        <w:t>2</w:t>
      </w:r>
      <w:r>
        <w:rPr>
          <w:rFonts w:hint="eastAsia" w:ascii="宋体" w:hAnsi="宋体"/>
          <w:sz w:val="24"/>
        </w:rPr>
        <w:t>1-20</w:t>
      </w:r>
      <w:r>
        <w:rPr>
          <w:rFonts w:ascii="宋体" w:hAnsi="宋体"/>
          <w:sz w:val="24"/>
        </w:rPr>
        <w:t>2</w:t>
      </w:r>
      <w:r>
        <w:rPr>
          <w:rFonts w:hint="eastAsia" w:ascii="宋体" w:hAnsi="宋体"/>
          <w:sz w:val="24"/>
        </w:rPr>
        <w:t>3收入预算表</w:t>
      </w:r>
    </w:p>
    <w:p>
      <w:pPr>
        <w:spacing w:line="360" w:lineRule="auto"/>
        <w:ind w:firstLine="720" w:firstLineChars="3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20</w:t>
      </w:r>
      <w:r>
        <w:rPr>
          <w:rFonts w:ascii="宋体" w:hAnsi="宋体"/>
          <w:sz w:val="24"/>
        </w:rPr>
        <w:t>2</w:t>
      </w:r>
      <w:r>
        <w:rPr>
          <w:rFonts w:hint="eastAsia" w:ascii="宋体" w:hAnsi="宋体"/>
          <w:sz w:val="24"/>
        </w:rPr>
        <w:t>1年度学校部门经费预算申报表及采购预算表</w:t>
      </w:r>
    </w:p>
    <w:p>
      <w:pPr>
        <w:spacing w:line="360" w:lineRule="auto"/>
        <w:ind w:firstLine="720" w:firstLineChars="3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20</w:t>
      </w:r>
      <w:r>
        <w:rPr>
          <w:rFonts w:ascii="宋体" w:hAnsi="宋体"/>
          <w:sz w:val="24"/>
        </w:rPr>
        <w:t>2</w:t>
      </w:r>
      <w:r>
        <w:rPr>
          <w:rFonts w:hint="eastAsia" w:ascii="宋体" w:hAnsi="宋体"/>
          <w:sz w:val="24"/>
        </w:rPr>
        <w:t>1年度市部门预算项目支出申报书及采购预算表</w:t>
      </w:r>
    </w:p>
    <w:p>
      <w:pPr>
        <w:spacing w:line="360" w:lineRule="auto"/>
        <w:ind w:firstLine="720" w:firstLineChars="300"/>
        <w:rPr>
          <w:rFonts w:hint="default" w:ascii="宋体" w:hAnsi="宋体" w:eastAsia="宋体"/>
          <w:sz w:val="24"/>
          <w:lang w:val="en-US" w:eastAsia="zh-CN"/>
        </w:rPr>
      </w:pPr>
      <w:r>
        <w:rPr>
          <w:rFonts w:hint="eastAsia" w:ascii="宋体" w:hAnsi="宋体"/>
          <w:sz w:val="24"/>
          <w:lang w:val="en-US" w:eastAsia="zh-CN"/>
        </w:rPr>
        <w:t>4.2021年度市部门预算项目绩效评价指标表</w:t>
      </w:r>
    </w:p>
    <w:p>
      <w:pPr>
        <w:spacing w:line="360" w:lineRule="auto"/>
        <w:ind w:firstLine="720" w:firstLineChars="300"/>
        <w:rPr>
          <w:rFonts w:ascii="宋体" w:hAnsi="宋体"/>
          <w:sz w:val="24"/>
        </w:rPr>
      </w:pPr>
      <w:r>
        <w:rPr>
          <w:rFonts w:hint="eastAsia" w:ascii="宋体" w:hAnsi="宋体"/>
          <w:sz w:val="24"/>
          <w:lang w:val="en-US" w:eastAsia="zh-CN"/>
        </w:rPr>
        <w:t>5.</w:t>
      </w:r>
      <w:r>
        <w:rPr>
          <w:rFonts w:hint="eastAsia" w:ascii="宋体" w:hAnsi="宋体"/>
          <w:sz w:val="24"/>
        </w:rPr>
        <w:t>浙江省政府向社会力量购买服务指导性目录（20</w:t>
      </w:r>
      <w:r>
        <w:rPr>
          <w:rFonts w:ascii="宋体" w:hAnsi="宋体"/>
          <w:sz w:val="24"/>
        </w:rPr>
        <w:t>19</w:t>
      </w:r>
      <w:r>
        <w:rPr>
          <w:rFonts w:hint="eastAsia" w:ascii="宋体" w:hAnsi="宋体"/>
          <w:sz w:val="24"/>
        </w:rPr>
        <w:t>年度）</w:t>
      </w:r>
    </w:p>
    <w:p>
      <w:pPr>
        <w:spacing w:line="360" w:lineRule="auto"/>
        <w:ind w:firstLine="720" w:firstLineChars="300"/>
        <w:rPr>
          <w:rFonts w:ascii="宋体" w:hAnsi="宋体"/>
          <w:sz w:val="24"/>
        </w:rPr>
      </w:pPr>
      <w:r>
        <w:rPr>
          <w:rFonts w:hint="eastAsia" w:ascii="宋体" w:hAnsi="宋体"/>
          <w:sz w:val="24"/>
          <w:lang w:val="en-US" w:eastAsia="zh-CN"/>
        </w:rPr>
        <w:t>6.</w:t>
      </w:r>
      <w:r>
        <w:rPr>
          <w:rFonts w:hint="eastAsia" w:ascii="宋体" w:hAnsi="宋体"/>
          <w:sz w:val="24"/>
        </w:rPr>
        <w:t>浙江省2019年度政府采购</w:t>
      </w:r>
      <w:r>
        <w:rPr>
          <w:rFonts w:hint="eastAsia" w:ascii="宋体" w:hAnsi="宋体"/>
          <w:sz w:val="24"/>
          <w:lang w:val="en-US" w:eastAsia="zh-CN"/>
        </w:rPr>
        <w:t>品目分类</w:t>
      </w:r>
      <w:r>
        <w:rPr>
          <w:rFonts w:hint="eastAsia" w:ascii="宋体" w:hAnsi="宋体"/>
          <w:sz w:val="24"/>
        </w:rPr>
        <w:t>目录</w:t>
      </w:r>
    </w:p>
    <w:p>
      <w:pPr>
        <w:spacing w:line="360" w:lineRule="auto"/>
      </w:pPr>
    </w:p>
    <w:p>
      <w:pPr>
        <w:spacing w:line="360" w:lineRule="auto"/>
      </w:pPr>
    </w:p>
    <w:p>
      <w:pPr>
        <w:spacing w:line="360" w:lineRule="auto"/>
        <w:ind w:firstLine="420" w:firstLineChars="200"/>
        <w:rPr>
          <w:sz w:val="24"/>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 w:val="24"/>
        </w:rPr>
        <w:t>计财处</w:t>
      </w:r>
    </w:p>
    <w:p>
      <w:pPr>
        <w:spacing w:line="360" w:lineRule="auto"/>
        <w:ind w:firstLine="480" w:firstLineChars="200"/>
      </w:pPr>
      <w:r>
        <w:rPr>
          <w:rFonts w:hint="eastAsia"/>
          <w:sz w:val="24"/>
        </w:rPr>
        <w:t xml:space="preserve">                                         </w:t>
      </w:r>
      <w:r>
        <w:rPr>
          <w:rFonts w:hint="eastAsia"/>
          <w:sz w:val="24"/>
          <w:lang w:val="en-US" w:eastAsia="zh-CN"/>
        </w:rPr>
        <w:t xml:space="preserve">  </w:t>
      </w:r>
      <w:r>
        <w:rPr>
          <w:rFonts w:hint="eastAsia"/>
          <w:sz w:val="24"/>
        </w:rPr>
        <w:t xml:space="preserve">    </w:t>
      </w:r>
      <w:r>
        <w:rPr>
          <w:sz w:val="24"/>
        </w:rPr>
        <w:t>20</w:t>
      </w:r>
      <w:r>
        <w:rPr>
          <w:rFonts w:hint="eastAsia"/>
          <w:sz w:val="24"/>
        </w:rPr>
        <w:t>20</w:t>
      </w:r>
      <w:r>
        <w:rPr>
          <w:sz w:val="24"/>
        </w:rPr>
        <w:t>-</w:t>
      </w:r>
      <w:r>
        <w:rPr>
          <w:rFonts w:hint="eastAsia"/>
          <w:sz w:val="24"/>
        </w:rPr>
        <w:t>10-16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39499"/>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00"/>
    <w:rsid w:val="0002173D"/>
    <w:rsid w:val="00042F86"/>
    <w:rsid w:val="000506FD"/>
    <w:rsid w:val="00086377"/>
    <w:rsid w:val="0009007D"/>
    <w:rsid w:val="00095CD8"/>
    <w:rsid w:val="00097C44"/>
    <w:rsid w:val="000B59D3"/>
    <w:rsid w:val="000B6D88"/>
    <w:rsid w:val="000C457A"/>
    <w:rsid w:val="000C6E9A"/>
    <w:rsid w:val="000E3703"/>
    <w:rsid w:val="000E531F"/>
    <w:rsid w:val="000F1F3A"/>
    <w:rsid w:val="00112DA4"/>
    <w:rsid w:val="001153F1"/>
    <w:rsid w:val="001313CE"/>
    <w:rsid w:val="00140E5B"/>
    <w:rsid w:val="00175419"/>
    <w:rsid w:val="00186C47"/>
    <w:rsid w:val="00190C84"/>
    <w:rsid w:val="001B6162"/>
    <w:rsid w:val="001C36A8"/>
    <w:rsid w:val="001D5306"/>
    <w:rsid w:val="001F3060"/>
    <w:rsid w:val="0020723A"/>
    <w:rsid w:val="00213699"/>
    <w:rsid w:val="00225886"/>
    <w:rsid w:val="002365F1"/>
    <w:rsid w:val="00260829"/>
    <w:rsid w:val="00271CA7"/>
    <w:rsid w:val="002834C3"/>
    <w:rsid w:val="002844FE"/>
    <w:rsid w:val="00292239"/>
    <w:rsid w:val="00293667"/>
    <w:rsid w:val="002A16DA"/>
    <w:rsid w:val="002A1D7A"/>
    <w:rsid w:val="002F12FA"/>
    <w:rsid w:val="00300B1F"/>
    <w:rsid w:val="00351A36"/>
    <w:rsid w:val="00390E06"/>
    <w:rsid w:val="003964ED"/>
    <w:rsid w:val="0039737A"/>
    <w:rsid w:val="003B4E31"/>
    <w:rsid w:val="003B58AE"/>
    <w:rsid w:val="003C47EF"/>
    <w:rsid w:val="003D0D0F"/>
    <w:rsid w:val="003E5629"/>
    <w:rsid w:val="00425A83"/>
    <w:rsid w:val="00445FF2"/>
    <w:rsid w:val="00477B6C"/>
    <w:rsid w:val="004840CD"/>
    <w:rsid w:val="0049308A"/>
    <w:rsid w:val="00496026"/>
    <w:rsid w:val="004A30B6"/>
    <w:rsid w:val="004B3A7A"/>
    <w:rsid w:val="004D7EB3"/>
    <w:rsid w:val="004E087D"/>
    <w:rsid w:val="00500B1D"/>
    <w:rsid w:val="00501A09"/>
    <w:rsid w:val="005415DD"/>
    <w:rsid w:val="00551A6A"/>
    <w:rsid w:val="00561DF8"/>
    <w:rsid w:val="00581517"/>
    <w:rsid w:val="005973D1"/>
    <w:rsid w:val="005B46CC"/>
    <w:rsid w:val="005D0D58"/>
    <w:rsid w:val="005D0EC1"/>
    <w:rsid w:val="005D5300"/>
    <w:rsid w:val="005E124E"/>
    <w:rsid w:val="005E3754"/>
    <w:rsid w:val="005F1F1D"/>
    <w:rsid w:val="006106C6"/>
    <w:rsid w:val="0062069D"/>
    <w:rsid w:val="00645624"/>
    <w:rsid w:val="00647EF6"/>
    <w:rsid w:val="00662D58"/>
    <w:rsid w:val="0067599F"/>
    <w:rsid w:val="006C1910"/>
    <w:rsid w:val="006E6F5F"/>
    <w:rsid w:val="00704017"/>
    <w:rsid w:val="007573C1"/>
    <w:rsid w:val="007D499B"/>
    <w:rsid w:val="007D683A"/>
    <w:rsid w:val="007E4250"/>
    <w:rsid w:val="007E5CF9"/>
    <w:rsid w:val="007E7EEC"/>
    <w:rsid w:val="007F459C"/>
    <w:rsid w:val="00800C80"/>
    <w:rsid w:val="008047EC"/>
    <w:rsid w:val="00814B42"/>
    <w:rsid w:val="008239A3"/>
    <w:rsid w:val="00826A87"/>
    <w:rsid w:val="00844C8F"/>
    <w:rsid w:val="00871331"/>
    <w:rsid w:val="0087384C"/>
    <w:rsid w:val="0088330A"/>
    <w:rsid w:val="008A425F"/>
    <w:rsid w:val="008B1763"/>
    <w:rsid w:val="008D05EE"/>
    <w:rsid w:val="008E0D4F"/>
    <w:rsid w:val="008F3498"/>
    <w:rsid w:val="0090312F"/>
    <w:rsid w:val="00912089"/>
    <w:rsid w:val="00912437"/>
    <w:rsid w:val="0091602C"/>
    <w:rsid w:val="00921B6D"/>
    <w:rsid w:val="0092215F"/>
    <w:rsid w:val="0095634D"/>
    <w:rsid w:val="009607CC"/>
    <w:rsid w:val="00977377"/>
    <w:rsid w:val="009952C5"/>
    <w:rsid w:val="00995B33"/>
    <w:rsid w:val="009A1BEE"/>
    <w:rsid w:val="009B30ED"/>
    <w:rsid w:val="009C0725"/>
    <w:rsid w:val="009C5C3A"/>
    <w:rsid w:val="009D4C3F"/>
    <w:rsid w:val="009F2092"/>
    <w:rsid w:val="009F3EE9"/>
    <w:rsid w:val="00A06C80"/>
    <w:rsid w:val="00A337D9"/>
    <w:rsid w:val="00A37316"/>
    <w:rsid w:val="00A71505"/>
    <w:rsid w:val="00A85DA5"/>
    <w:rsid w:val="00A864AF"/>
    <w:rsid w:val="00AA24F6"/>
    <w:rsid w:val="00AF6506"/>
    <w:rsid w:val="00B11558"/>
    <w:rsid w:val="00B20938"/>
    <w:rsid w:val="00B41103"/>
    <w:rsid w:val="00B9253B"/>
    <w:rsid w:val="00B97C73"/>
    <w:rsid w:val="00BB50B2"/>
    <w:rsid w:val="00BC0EA3"/>
    <w:rsid w:val="00BD621C"/>
    <w:rsid w:val="00BE7E51"/>
    <w:rsid w:val="00C103B4"/>
    <w:rsid w:val="00C10B90"/>
    <w:rsid w:val="00C128EE"/>
    <w:rsid w:val="00C523BF"/>
    <w:rsid w:val="00C73978"/>
    <w:rsid w:val="00C85455"/>
    <w:rsid w:val="00CA2154"/>
    <w:rsid w:val="00CA74DB"/>
    <w:rsid w:val="00D43D39"/>
    <w:rsid w:val="00D51752"/>
    <w:rsid w:val="00D74676"/>
    <w:rsid w:val="00D842F7"/>
    <w:rsid w:val="00D86ACC"/>
    <w:rsid w:val="00DB6215"/>
    <w:rsid w:val="00DB67A5"/>
    <w:rsid w:val="00DD4620"/>
    <w:rsid w:val="00DE515B"/>
    <w:rsid w:val="00E00782"/>
    <w:rsid w:val="00E26B44"/>
    <w:rsid w:val="00E7208D"/>
    <w:rsid w:val="00EA6FF4"/>
    <w:rsid w:val="00EB11B6"/>
    <w:rsid w:val="00EF3E38"/>
    <w:rsid w:val="00F00481"/>
    <w:rsid w:val="00F21F56"/>
    <w:rsid w:val="00F44458"/>
    <w:rsid w:val="00FB39AA"/>
    <w:rsid w:val="00FB3FCF"/>
    <w:rsid w:val="00FC5118"/>
    <w:rsid w:val="00FC524C"/>
    <w:rsid w:val="00FC6A18"/>
    <w:rsid w:val="00FC6B38"/>
    <w:rsid w:val="02ED5A3A"/>
    <w:rsid w:val="043636E0"/>
    <w:rsid w:val="04432939"/>
    <w:rsid w:val="07205103"/>
    <w:rsid w:val="0720722B"/>
    <w:rsid w:val="085A593F"/>
    <w:rsid w:val="090C1F1E"/>
    <w:rsid w:val="0C5D50CD"/>
    <w:rsid w:val="0DF01854"/>
    <w:rsid w:val="0E6372B0"/>
    <w:rsid w:val="11032D10"/>
    <w:rsid w:val="12351BA9"/>
    <w:rsid w:val="12E72179"/>
    <w:rsid w:val="13A70668"/>
    <w:rsid w:val="14BF1A11"/>
    <w:rsid w:val="15075163"/>
    <w:rsid w:val="18102257"/>
    <w:rsid w:val="18C36924"/>
    <w:rsid w:val="1C230602"/>
    <w:rsid w:val="1DC2666F"/>
    <w:rsid w:val="2084227A"/>
    <w:rsid w:val="21401D1B"/>
    <w:rsid w:val="24C130E8"/>
    <w:rsid w:val="251A2829"/>
    <w:rsid w:val="29141F4D"/>
    <w:rsid w:val="2A1F0FCB"/>
    <w:rsid w:val="2B041401"/>
    <w:rsid w:val="2B4F57C6"/>
    <w:rsid w:val="2BE94AAC"/>
    <w:rsid w:val="2C2507D7"/>
    <w:rsid w:val="30656E15"/>
    <w:rsid w:val="32307EAB"/>
    <w:rsid w:val="39791019"/>
    <w:rsid w:val="3D8409AC"/>
    <w:rsid w:val="41A83876"/>
    <w:rsid w:val="42710577"/>
    <w:rsid w:val="42C32CAC"/>
    <w:rsid w:val="44433B29"/>
    <w:rsid w:val="4468457B"/>
    <w:rsid w:val="458F60A7"/>
    <w:rsid w:val="4597476B"/>
    <w:rsid w:val="46C7606B"/>
    <w:rsid w:val="47F971DF"/>
    <w:rsid w:val="4879500D"/>
    <w:rsid w:val="4F1D7D7A"/>
    <w:rsid w:val="506B246F"/>
    <w:rsid w:val="52E51AC8"/>
    <w:rsid w:val="53683982"/>
    <w:rsid w:val="53D77B55"/>
    <w:rsid w:val="54790600"/>
    <w:rsid w:val="549468F3"/>
    <w:rsid w:val="54DF5DBD"/>
    <w:rsid w:val="54E654B2"/>
    <w:rsid w:val="5716594A"/>
    <w:rsid w:val="5AA000DC"/>
    <w:rsid w:val="5C912BFE"/>
    <w:rsid w:val="5CB468F8"/>
    <w:rsid w:val="695668F8"/>
    <w:rsid w:val="6ACE741D"/>
    <w:rsid w:val="70405389"/>
    <w:rsid w:val="70737F10"/>
    <w:rsid w:val="70BF056A"/>
    <w:rsid w:val="769F5630"/>
    <w:rsid w:val="76FD75AF"/>
    <w:rsid w:val="7AC36C44"/>
    <w:rsid w:val="7C390F0B"/>
    <w:rsid w:val="7CFB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脚 字符"/>
    <w:basedOn w:val="7"/>
    <w:link w:val="4"/>
    <w:qFormat/>
    <w:uiPriority w:val="99"/>
    <w:rPr>
      <w:kern w:val="2"/>
      <w:sz w:val="18"/>
      <w:szCs w:val="18"/>
    </w:rPr>
  </w:style>
  <w:style w:type="character" w:customStyle="1" w:styleId="10">
    <w:name w:val="日期 字符"/>
    <w:basedOn w:val="7"/>
    <w:link w:val="2"/>
    <w:qFormat/>
    <w:uiPriority w:val="0"/>
    <w:rPr>
      <w:kern w:val="2"/>
      <w:sz w:val="21"/>
      <w:szCs w:val="24"/>
    </w:rPr>
  </w:style>
  <w:style w:type="character" w:customStyle="1" w:styleId="11">
    <w:name w:val="页眉 字符"/>
    <w:basedOn w:val="7"/>
    <w:link w:val="5"/>
    <w:uiPriority w:val="0"/>
    <w:rPr>
      <w:kern w:val="2"/>
      <w:sz w:val="18"/>
      <w:szCs w:val="18"/>
    </w:rPr>
  </w:style>
  <w:style w:type="character" w:customStyle="1" w:styleId="12">
    <w:name w:val="批注框文本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935</Words>
  <Characters>5331</Characters>
  <Lines>44</Lines>
  <Paragraphs>12</Paragraphs>
  <TotalTime>0</TotalTime>
  <ScaleCrop>false</ScaleCrop>
  <LinksUpToDate>false</LinksUpToDate>
  <CharactersWithSpaces>6254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2016-10-08T02:11:00Z</dcterms:created>
  <dc:creator>LX.ZhuGe</dc:creator>
  <cp:lastModifiedBy>hyy</cp:lastModifiedBy>
  <cp:lastPrinted>2018-09-27T02:03:00Z</cp:lastPrinted>
  <dcterms:modified xsi:type="dcterms:W3CDTF">2020-11-06T03:17:43Z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